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58D3" w14:textId="77777777" w:rsidR="00D12D3D" w:rsidRPr="00744387" w:rsidRDefault="00D12D3D" w:rsidP="00744387">
      <w:pPr>
        <w:spacing w:after="0" w:line="480" w:lineRule="auto"/>
        <w:jc w:val="center"/>
        <w:rPr>
          <w:rFonts w:ascii="Times New Roman" w:hAnsi="Times New Roman"/>
          <w:sz w:val="24"/>
          <w:szCs w:val="24"/>
        </w:rPr>
      </w:pPr>
    </w:p>
    <w:p w14:paraId="07B05F30" w14:textId="77777777" w:rsidR="00D12D3D" w:rsidRPr="00744387" w:rsidRDefault="00D12D3D" w:rsidP="00744387">
      <w:pPr>
        <w:spacing w:after="0" w:line="480" w:lineRule="auto"/>
        <w:jc w:val="center"/>
        <w:rPr>
          <w:rFonts w:ascii="Times New Roman" w:hAnsi="Times New Roman"/>
          <w:sz w:val="24"/>
          <w:szCs w:val="24"/>
        </w:rPr>
      </w:pPr>
    </w:p>
    <w:p w14:paraId="14406153" w14:textId="77777777" w:rsidR="00D12D3D" w:rsidRPr="00744387" w:rsidRDefault="00D12D3D" w:rsidP="00744387">
      <w:pPr>
        <w:spacing w:after="0" w:line="480" w:lineRule="auto"/>
        <w:jc w:val="center"/>
        <w:rPr>
          <w:rFonts w:ascii="Times New Roman" w:hAnsi="Times New Roman"/>
          <w:sz w:val="24"/>
          <w:szCs w:val="24"/>
        </w:rPr>
      </w:pPr>
    </w:p>
    <w:p w14:paraId="04E25910" w14:textId="77777777" w:rsidR="00D12D3D" w:rsidRPr="00744387" w:rsidRDefault="00D12D3D" w:rsidP="00744387">
      <w:pPr>
        <w:spacing w:after="0" w:line="480" w:lineRule="auto"/>
        <w:rPr>
          <w:rFonts w:ascii="Times New Roman" w:hAnsi="Times New Roman"/>
          <w:sz w:val="24"/>
          <w:szCs w:val="24"/>
        </w:rPr>
      </w:pPr>
    </w:p>
    <w:p w14:paraId="7A7F7F38" w14:textId="074480E5" w:rsidR="00D12D3D" w:rsidRPr="00744387" w:rsidRDefault="004261A5" w:rsidP="00744387">
      <w:pPr>
        <w:spacing w:after="0" w:line="480" w:lineRule="auto"/>
        <w:jc w:val="center"/>
        <w:rPr>
          <w:rFonts w:ascii="Times New Roman" w:hAnsi="Times New Roman"/>
          <w:b/>
          <w:bCs/>
          <w:sz w:val="24"/>
          <w:szCs w:val="24"/>
        </w:rPr>
      </w:pPr>
      <w:r w:rsidRPr="004261A5">
        <w:rPr>
          <w:rFonts w:ascii="Times New Roman" w:hAnsi="Times New Roman"/>
          <w:b/>
          <w:bCs/>
          <w:sz w:val="24"/>
          <w:szCs w:val="24"/>
        </w:rPr>
        <w:t>NURS-6052</w:t>
      </w:r>
      <w:r w:rsidR="00DC7A62" w:rsidRPr="00DC7A62">
        <w:t xml:space="preserve"> </w:t>
      </w:r>
      <w:r w:rsidR="00DC7A62" w:rsidRPr="00DC7A62">
        <w:rPr>
          <w:rFonts w:ascii="Times New Roman" w:hAnsi="Times New Roman"/>
          <w:b/>
          <w:bCs/>
          <w:sz w:val="24"/>
          <w:szCs w:val="24"/>
        </w:rPr>
        <w:t>Module 4</w:t>
      </w:r>
      <w:r w:rsidR="00DC7A62">
        <w:rPr>
          <w:rFonts w:ascii="Times New Roman" w:hAnsi="Times New Roman"/>
          <w:b/>
          <w:bCs/>
          <w:sz w:val="24"/>
          <w:szCs w:val="24"/>
        </w:rPr>
        <w:t xml:space="preserve"> </w:t>
      </w:r>
      <w:r w:rsidR="00DC7A62" w:rsidRPr="00DC7A62">
        <w:rPr>
          <w:rFonts w:ascii="Times New Roman" w:hAnsi="Times New Roman"/>
          <w:b/>
          <w:bCs/>
          <w:sz w:val="24"/>
          <w:szCs w:val="24"/>
        </w:rPr>
        <w:t>Assignment</w:t>
      </w:r>
      <w:r w:rsidR="00DC7A62">
        <w:rPr>
          <w:rFonts w:ascii="Times New Roman" w:hAnsi="Times New Roman"/>
          <w:b/>
          <w:bCs/>
          <w:sz w:val="24"/>
          <w:szCs w:val="24"/>
        </w:rPr>
        <w:t xml:space="preserve">: </w:t>
      </w:r>
      <w:r w:rsidR="00C51ADE" w:rsidRPr="00744387">
        <w:rPr>
          <w:rFonts w:ascii="Times New Roman" w:hAnsi="Times New Roman"/>
          <w:b/>
          <w:bCs/>
          <w:sz w:val="24"/>
          <w:szCs w:val="24"/>
        </w:rPr>
        <w:t>Evidence-based Project Critical Appraisal Part 3</w:t>
      </w:r>
    </w:p>
    <w:p w14:paraId="08408155" w14:textId="77777777" w:rsidR="00D12D3D" w:rsidRPr="00744387" w:rsidRDefault="00D12D3D" w:rsidP="00744387">
      <w:pPr>
        <w:spacing w:after="0" w:line="480" w:lineRule="auto"/>
        <w:jc w:val="center"/>
        <w:rPr>
          <w:rFonts w:ascii="Times New Roman" w:hAnsi="Times New Roman"/>
          <w:sz w:val="24"/>
          <w:szCs w:val="24"/>
        </w:rPr>
      </w:pPr>
    </w:p>
    <w:p w14:paraId="2DAE4244" w14:textId="77777777" w:rsidR="00D12D3D" w:rsidRPr="00744387" w:rsidRDefault="00C51ADE" w:rsidP="00744387">
      <w:pPr>
        <w:spacing w:after="0" w:line="480" w:lineRule="auto"/>
        <w:jc w:val="center"/>
        <w:rPr>
          <w:rFonts w:ascii="Times New Roman" w:hAnsi="Times New Roman"/>
          <w:sz w:val="24"/>
          <w:szCs w:val="24"/>
        </w:rPr>
      </w:pPr>
      <w:r w:rsidRPr="00744387">
        <w:rPr>
          <w:rFonts w:ascii="Times New Roman" w:hAnsi="Times New Roman"/>
          <w:sz w:val="24"/>
          <w:szCs w:val="24"/>
        </w:rPr>
        <w:t>Student Full Name</w:t>
      </w:r>
    </w:p>
    <w:p w14:paraId="113100E0" w14:textId="77777777" w:rsidR="00D12D3D" w:rsidRPr="00744387" w:rsidRDefault="00C51ADE" w:rsidP="00744387">
      <w:pPr>
        <w:spacing w:after="0" w:line="480" w:lineRule="auto"/>
        <w:jc w:val="center"/>
        <w:rPr>
          <w:rFonts w:ascii="Times New Roman" w:hAnsi="Times New Roman"/>
          <w:sz w:val="24"/>
          <w:szCs w:val="24"/>
        </w:rPr>
      </w:pPr>
      <w:r w:rsidRPr="00744387">
        <w:rPr>
          <w:rFonts w:ascii="Times New Roman" w:hAnsi="Times New Roman"/>
          <w:sz w:val="24"/>
          <w:szCs w:val="24"/>
        </w:rPr>
        <w:t xml:space="preserve">Institution Affiliation </w:t>
      </w:r>
    </w:p>
    <w:p w14:paraId="1FFB4082" w14:textId="77777777" w:rsidR="00D12D3D" w:rsidRPr="00744387" w:rsidRDefault="00C51ADE" w:rsidP="00744387">
      <w:pPr>
        <w:spacing w:after="0" w:line="480" w:lineRule="auto"/>
        <w:jc w:val="center"/>
        <w:rPr>
          <w:rFonts w:ascii="Times New Roman" w:hAnsi="Times New Roman"/>
          <w:sz w:val="24"/>
          <w:szCs w:val="24"/>
        </w:rPr>
      </w:pPr>
      <w:r w:rsidRPr="00744387">
        <w:rPr>
          <w:rFonts w:ascii="Times New Roman" w:hAnsi="Times New Roman"/>
          <w:sz w:val="24"/>
          <w:szCs w:val="24"/>
        </w:rPr>
        <w:t>Course Full Title</w:t>
      </w:r>
    </w:p>
    <w:p w14:paraId="04E6785F" w14:textId="77777777" w:rsidR="00D12D3D" w:rsidRPr="00744387" w:rsidRDefault="00C51ADE" w:rsidP="00744387">
      <w:pPr>
        <w:spacing w:after="0" w:line="480" w:lineRule="auto"/>
        <w:jc w:val="center"/>
        <w:rPr>
          <w:rFonts w:ascii="Times New Roman" w:hAnsi="Times New Roman"/>
          <w:sz w:val="24"/>
          <w:szCs w:val="24"/>
        </w:rPr>
      </w:pPr>
      <w:r w:rsidRPr="00744387">
        <w:rPr>
          <w:rFonts w:ascii="Times New Roman" w:hAnsi="Times New Roman"/>
          <w:sz w:val="24"/>
          <w:szCs w:val="24"/>
        </w:rPr>
        <w:t>Instructor Full Name</w:t>
      </w:r>
    </w:p>
    <w:p w14:paraId="18A49062" w14:textId="77777777" w:rsidR="00D12D3D" w:rsidRPr="00744387" w:rsidRDefault="00C51ADE" w:rsidP="00744387">
      <w:pPr>
        <w:spacing w:after="0" w:line="480" w:lineRule="auto"/>
        <w:jc w:val="center"/>
        <w:rPr>
          <w:rFonts w:ascii="Times New Roman" w:hAnsi="Times New Roman"/>
          <w:sz w:val="24"/>
          <w:szCs w:val="24"/>
        </w:rPr>
      </w:pPr>
      <w:r w:rsidRPr="00744387">
        <w:rPr>
          <w:rFonts w:ascii="Times New Roman" w:hAnsi="Times New Roman"/>
          <w:sz w:val="24"/>
          <w:szCs w:val="24"/>
        </w:rPr>
        <w:t xml:space="preserve">Due Date </w:t>
      </w:r>
    </w:p>
    <w:p w14:paraId="7C43B818" w14:textId="77777777" w:rsidR="00D12D3D" w:rsidRPr="00744387" w:rsidRDefault="00D12D3D" w:rsidP="00744387">
      <w:pPr>
        <w:spacing w:after="0" w:line="480" w:lineRule="auto"/>
        <w:jc w:val="center"/>
        <w:rPr>
          <w:rFonts w:ascii="Times New Roman" w:hAnsi="Times New Roman"/>
          <w:sz w:val="24"/>
          <w:szCs w:val="24"/>
        </w:rPr>
      </w:pPr>
    </w:p>
    <w:p w14:paraId="4CFA6F46" w14:textId="77777777" w:rsidR="00D12D3D" w:rsidRPr="00744387" w:rsidRDefault="00D12D3D" w:rsidP="00744387">
      <w:pPr>
        <w:spacing w:after="0" w:line="480" w:lineRule="auto"/>
        <w:jc w:val="center"/>
        <w:rPr>
          <w:rFonts w:ascii="Times New Roman" w:hAnsi="Times New Roman"/>
          <w:sz w:val="24"/>
          <w:szCs w:val="24"/>
        </w:rPr>
      </w:pPr>
    </w:p>
    <w:p w14:paraId="3E8BA254" w14:textId="77777777" w:rsidR="00D12D3D" w:rsidRPr="00744387" w:rsidRDefault="00D12D3D" w:rsidP="00744387">
      <w:pPr>
        <w:spacing w:after="0" w:line="480" w:lineRule="auto"/>
        <w:jc w:val="center"/>
        <w:rPr>
          <w:rFonts w:ascii="Times New Roman" w:hAnsi="Times New Roman"/>
          <w:sz w:val="24"/>
          <w:szCs w:val="24"/>
        </w:rPr>
      </w:pPr>
    </w:p>
    <w:p w14:paraId="0DDF3873" w14:textId="77777777" w:rsidR="00D12D3D" w:rsidRPr="00744387" w:rsidRDefault="00D12D3D" w:rsidP="00744387">
      <w:pPr>
        <w:spacing w:after="0" w:line="480" w:lineRule="auto"/>
        <w:jc w:val="center"/>
        <w:rPr>
          <w:rFonts w:ascii="Times New Roman" w:hAnsi="Times New Roman"/>
          <w:sz w:val="24"/>
          <w:szCs w:val="24"/>
        </w:rPr>
      </w:pPr>
    </w:p>
    <w:p w14:paraId="478555A4" w14:textId="77777777" w:rsidR="00D12D3D" w:rsidRPr="00744387" w:rsidRDefault="00D12D3D" w:rsidP="00744387">
      <w:pPr>
        <w:spacing w:after="0" w:line="480" w:lineRule="auto"/>
        <w:jc w:val="center"/>
        <w:rPr>
          <w:rFonts w:ascii="Times New Roman" w:hAnsi="Times New Roman"/>
          <w:sz w:val="24"/>
          <w:szCs w:val="24"/>
        </w:rPr>
      </w:pPr>
    </w:p>
    <w:p w14:paraId="61334174" w14:textId="77777777" w:rsidR="00D12D3D" w:rsidRPr="00744387" w:rsidRDefault="00D12D3D" w:rsidP="00744387">
      <w:pPr>
        <w:spacing w:after="0" w:line="480" w:lineRule="auto"/>
        <w:rPr>
          <w:rFonts w:ascii="Times New Roman" w:hAnsi="Times New Roman"/>
          <w:sz w:val="24"/>
          <w:szCs w:val="24"/>
        </w:rPr>
      </w:pPr>
    </w:p>
    <w:p w14:paraId="0662E6EC" w14:textId="77777777" w:rsidR="00D12D3D" w:rsidRPr="00744387" w:rsidRDefault="00D12D3D" w:rsidP="00744387">
      <w:pPr>
        <w:spacing w:after="0" w:line="480" w:lineRule="auto"/>
        <w:rPr>
          <w:rFonts w:ascii="Times New Roman" w:hAnsi="Times New Roman"/>
          <w:sz w:val="24"/>
          <w:szCs w:val="24"/>
        </w:rPr>
      </w:pPr>
    </w:p>
    <w:p w14:paraId="1B418ECE" w14:textId="77777777" w:rsidR="00D12D3D" w:rsidRPr="00744387" w:rsidRDefault="00D12D3D" w:rsidP="00744387">
      <w:pPr>
        <w:spacing w:after="0" w:line="480" w:lineRule="auto"/>
        <w:rPr>
          <w:rFonts w:ascii="Times New Roman" w:hAnsi="Times New Roman"/>
          <w:sz w:val="24"/>
          <w:szCs w:val="24"/>
        </w:rPr>
      </w:pPr>
    </w:p>
    <w:p w14:paraId="3D10289D" w14:textId="77777777" w:rsidR="00D12D3D" w:rsidRPr="00744387" w:rsidRDefault="00D12D3D" w:rsidP="00744387">
      <w:pPr>
        <w:spacing w:after="0" w:line="480" w:lineRule="auto"/>
        <w:rPr>
          <w:rFonts w:ascii="Times New Roman" w:hAnsi="Times New Roman"/>
          <w:sz w:val="24"/>
          <w:szCs w:val="24"/>
        </w:rPr>
      </w:pPr>
    </w:p>
    <w:p w14:paraId="2FF2D638" w14:textId="77777777" w:rsidR="00D12D3D" w:rsidRPr="00744387" w:rsidRDefault="00D12D3D" w:rsidP="00744387">
      <w:pPr>
        <w:spacing w:after="0" w:line="480" w:lineRule="auto"/>
        <w:rPr>
          <w:rFonts w:ascii="Times New Roman" w:hAnsi="Times New Roman"/>
          <w:sz w:val="24"/>
          <w:szCs w:val="24"/>
        </w:rPr>
      </w:pPr>
    </w:p>
    <w:p w14:paraId="1210EB41" w14:textId="77777777" w:rsidR="00D12D3D" w:rsidRDefault="00D12D3D" w:rsidP="00744387">
      <w:pPr>
        <w:spacing w:after="0" w:line="480" w:lineRule="auto"/>
        <w:rPr>
          <w:rFonts w:ascii="Times New Roman" w:hAnsi="Times New Roman"/>
          <w:sz w:val="24"/>
          <w:szCs w:val="24"/>
        </w:rPr>
      </w:pPr>
    </w:p>
    <w:p w14:paraId="2E1DC5FA" w14:textId="77777777" w:rsidR="00744387" w:rsidRPr="00744387" w:rsidRDefault="00744387" w:rsidP="00744387">
      <w:pPr>
        <w:spacing w:after="0" w:line="480" w:lineRule="auto"/>
        <w:rPr>
          <w:rFonts w:ascii="Times New Roman" w:hAnsi="Times New Roman"/>
          <w:sz w:val="24"/>
          <w:szCs w:val="24"/>
        </w:rPr>
      </w:pPr>
    </w:p>
    <w:p w14:paraId="4740C57C" w14:textId="77777777" w:rsidR="00D12D3D" w:rsidRPr="00744387" w:rsidRDefault="00C51ADE" w:rsidP="00744387">
      <w:pPr>
        <w:spacing w:after="0" w:line="480" w:lineRule="auto"/>
        <w:jc w:val="center"/>
        <w:rPr>
          <w:rFonts w:ascii="Times New Roman" w:hAnsi="Times New Roman"/>
          <w:b/>
          <w:bCs/>
          <w:sz w:val="24"/>
          <w:szCs w:val="24"/>
        </w:rPr>
      </w:pPr>
      <w:r w:rsidRPr="00744387">
        <w:rPr>
          <w:rFonts w:ascii="Times New Roman" w:hAnsi="Times New Roman"/>
          <w:b/>
          <w:bCs/>
          <w:sz w:val="24"/>
          <w:szCs w:val="24"/>
        </w:rPr>
        <w:lastRenderedPageBreak/>
        <w:t xml:space="preserve">Evidence-based Project Critical Appraisal Part 3 </w:t>
      </w:r>
    </w:p>
    <w:p w14:paraId="1AE512B2" w14:textId="5AA87E64"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Patient falls are adverse events that pose significant safety concerns by leading to prolonged hospitalization, increased care costs, deaths, and preventable patient harm. According to Jähne-Raden et al. (2019), individual factors like gait and balance disorders, vigilance disorders, neurodegenerative conditions</w:t>
      </w:r>
      <w:r w:rsidR="009E6627">
        <w:rPr>
          <w:rFonts w:ascii="Times New Roman" w:hAnsi="Times New Roman"/>
          <w:sz w:val="24"/>
          <w:szCs w:val="24"/>
        </w:rPr>
        <w:t xml:space="preserve"> like</w:t>
      </w:r>
      <w:r w:rsidRPr="00744387">
        <w:rPr>
          <w:rFonts w:ascii="Times New Roman" w:hAnsi="Times New Roman"/>
          <w:sz w:val="24"/>
          <w:szCs w:val="24"/>
        </w:rPr>
        <w:t xml:space="preserve"> dementia and Parkinson's disease, and disorientation are primary risk factors for in-patient falls, especially in geriatric care settings. Equally, organizational issues, including the presence of slip hazards, </w:t>
      </w:r>
      <w:r w:rsidR="00744387">
        <w:rPr>
          <w:rFonts w:ascii="Times New Roman" w:hAnsi="Times New Roman"/>
          <w:sz w:val="24"/>
          <w:szCs w:val="24"/>
        </w:rPr>
        <w:t xml:space="preserve">a </w:t>
      </w:r>
      <w:r w:rsidRPr="00744387">
        <w:rPr>
          <w:rFonts w:ascii="Times New Roman" w:hAnsi="Times New Roman"/>
          <w:sz w:val="24"/>
          <w:szCs w:val="24"/>
        </w:rPr>
        <w:t>poorly-organized hospital environment, ineffective and deficient risk assessment practices, and a lack of patient monitoring activities</w:t>
      </w:r>
      <w:r w:rsidR="009E6627">
        <w:rPr>
          <w:rFonts w:ascii="Times New Roman" w:hAnsi="Times New Roman"/>
          <w:sz w:val="24"/>
          <w:szCs w:val="24"/>
        </w:rPr>
        <w:t>,</w:t>
      </w:r>
      <w:r w:rsidRPr="00744387">
        <w:rPr>
          <w:rFonts w:ascii="Times New Roman" w:hAnsi="Times New Roman"/>
          <w:sz w:val="24"/>
          <w:szCs w:val="24"/>
        </w:rPr>
        <w:t xml:space="preserve"> can exacerbate incidences of patient falls. Since healthcare professionals have an ethical and professional obligation to ensure patient safety and avert harm, they should embrace evidence-based strategies for preventing patient falls. The current scholarly research identifies various organizational-level and nurse-led strategies for preventing in-patient and out-patient falls. As a result, this paper is a critical appraisal of four articles that provide justifiable and proven interventions for fall prevention in different clinical contexts. </w:t>
      </w:r>
    </w:p>
    <w:p w14:paraId="610AF8AD" w14:textId="77777777" w:rsidR="00D12D3D" w:rsidRPr="00744387" w:rsidRDefault="00C51ADE" w:rsidP="00744387">
      <w:pPr>
        <w:spacing w:after="0" w:line="480" w:lineRule="auto"/>
        <w:jc w:val="center"/>
        <w:rPr>
          <w:rFonts w:ascii="Times New Roman" w:hAnsi="Times New Roman"/>
          <w:b/>
          <w:bCs/>
          <w:sz w:val="24"/>
          <w:szCs w:val="24"/>
        </w:rPr>
      </w:pPr>
      <w:r w:rsidRPr="00744387">
        <w:rPr>
          <w:rFonts w:ascii="Times New Roman" w:hAnsi="Times New Roman"/>
          <w:b/>
          <w:bCs/>
          <w:sz w:val="24"/>
          <w:szCs w:val="24"/>
        </w:rPr>
        <w:t>A Critical Appraisal of the Selected Scholarly Articles</w:t>
      </w:r>
    </w:p>
    <w:p w14:paraId="7CF2DFA8" w14:textId="154B28E1"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Critically appraising evidence is a profound step of evidence-based practice (</w:t>
      </w:r>
      <w:proofErr w:type="spellStart"/>
      <w:r w:rsidRPr="00744387">
        <w:rPr>
          <w:rFonts w:ascii="Times New Roman" w:hAnsi="Times New Roman"/>
          <w:sz w:val="24"/>
          <w:szCs w:val="24"/>
        </w:rPr>
        <w:t>EPB</w:t>
      </w:r>
      <w:proofErr w:type="spellEnd"/>
      <w:r w:rsidRPr="00744387">
        <w:rPr>
          <w:rFonts w:ascii="Times New Roman" w:hAnsi="Times New Roman"/>
          <w:sz w:val="24"/>
          <w:szCs w:val="24"/>
        </w:rPr>
        <w:t>). The primary objective of appraising evidence is to ascertain its relevance, consistency, and validity consist</w:t>
      </w:r>
      <w:r w:rsidR="00744387">
        <w:rPr>
          <w:rFonts w:ascii="Times New Roman" w:hAnsi="Times New Roman"/>
          <w:sz w:val="24"/>
          <w:szCs w:val="24"/>
        </w:rPr>
        <w:t xml:space="preserve">ent </w:t>
      </w:r>
      <w:r w:rsidRPr="00744387">
        <w:rPr>
          <w:rFonts w:ascii="Times New Roman" w:hAnsi="Times New Roman"/>
          <w:sz w:val="24"/>
          <w:szCs w:val="24"/>
        </w:rPr>
        <w:t xml:space="preserve">with foreground (PICOT) questions. The clinical question selected in the previous assessment entails exploring the duty of each geriatric nurse in implementing fall prevention techniques to reduce the number of </w:t>
      </w:r>
      <w:r w:rsidR="009E6627">
        <w:rPr>
          <w:rFonts w:ascii="Times New Roman" w:hAnsi="Times New Roman"/>
          <w:sz w:val="24"/>
          <w:szCs w:val="24"/>
        </w:rPr>
        <w:t>patient</w:t>
      </w:r>
      <w:r w:rsidRPr="00744387">
        <w:rPr>
          <w:rFonts w:ascii="Times New Roman" w:hAnsi="Times New Roman"/>
          <w:sz w:val="24"/>
          <w:szCs w:val="24"/>
        </w:rPr>
        <w:t xml:space="preserve"> falls. As a result, </w:t>
      </w:r>
      <w:r w:rsidR="009E6627">
        <w:rPr>
          <w:rFonts w:ascii="Times New Roman" w:hAnsi="Times New Roman"/>
          <w:sz w:val="24"/>
          <w:szCs w:val="24"/>
        </w:rPr>
        <w:t>identifying</w:t>
      </w:r>
      <w:r w:rsidRPr="00744387">
        <w:rPr>
          <w:rFonts w:ascii="Times New Roman" w:hAnsi="Times New Roman"/>
          <w:sz w:val="24"/>
          <w:szCs w:val="24"/>
        </w:rPr>
        <w:t xml:space="preserve"> ideal evidence sources revolved around advanced and proven interventions for preventing falls. Upon leveraging keywords and subtitles to select scholarly articles, this search technique yielded four scientific studies; King et al. (2018), Radecki et al. (2018), Thomas et al. (2018), and Jähne-Raden et al. </w:t>
      </w:r>
      <w:r w:rsidRPr="00744387">
        <w:rPr>
          <w:rFonts w:ascii="Times New Roman" w:hAnsi="Times New Roman"/>
          <w:sz w:val="24"/>
          <w:szCs w:val="24"/>
        </w:rPr>
        <w:lastRenderedPageBreak/>
        <w:t xml:space="preserve">(2018). Each article provides insights into evidence-based strategies for preventing patient falls. They are current, peer-reviewed, and relevant to the foreground question. Finally, their findings are generalizable and transferable to different clinical contexts. </w:t>
      </w:r>
    </w:p>
    <w:p w14:paraId="0C7B35EE" w14:textId="77777777" w:rsidR="00D12D3D" w:rsidRPr="00744387" w:rsidRDefault="00C51ADE" w:rsidP="00744387">
      <w:pPr>
        <w:spacing w:after="0" w:line="480" w:lineRule="auto"/>
        <w:jc w:val="center"/>
        <w:rPr>
          <w:rFonts w:ascii="Times New Roman" w:hAnsi="Times New Roman"/>
          <w:b/>
          <w:bCs/>
          <w:sz w:val="24"/>
          <w:szCs w:val="24"/>
        </w:rPr>
      </w:pPr>
      <w:r w:rsidRPr="00744387">
        <w:rPr>
          <w:rFonts w:ascii="Times New Roman" w:hAnsi="Times New Roman"/>
          <w:b/>
          <w:bCs/>
          <w:sz w:val="24"/>
          <w:szCs w:val="24"/>
        </w:rPr>
        <w:t>Best Practice that Emerges from the Reviewed Research</w:t>
      </w:r>
    </w:p>
    <w:p w14:paraId="6DD0B5B6" w14:textId="09846DEF"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 xml:space="preserve">The reviewed research provides insights into different approaches for preventing patient falls. In a qualitative study, Radecki et al. (2018) describe the patient's perspective </w:t>
      </w:r>
      <w:r w:rsidR="00744387">
        <w:rPr>
          <w:rFonts w:ascii="Times New Roman" w:hAnsi="Times New Roman"/>
          <w:sz w:val="24"/>
          <w:szCs w:val="24"/>
        </w:rPr>
        <w:t>on</w:t>
      </w:r>
      <w:r w:rsidRPr="00744387">
        <w:rPr>
          <w:rFonts w:ascii="Times New Roman" w:hAnsi="Times New Roman"/>
          <w:sz w:val="24"/>
          <w:szCs w:val="24"/>
        </w:rPr>
        <w:t xml:space="preserve"> fall prevention in an acute care setting. According to the researchers, patient fall assessments are vital in identifying </w:t>
      </w:r>
      <w:r w:rsidR="009E6627">
        <w:rPr>
          <w:rFonts w:ascii="Times New Roman" w:hAnsi="Times New Roman"/>
          <w:sz w:val="24"/>
          <w:szCs w:val="24"/>
        </w:rPr>
        <w:t>fall risk factors</w:t>
      </w:r>
      <w:r w:rsidRPr="00744387">
        <w:rPr>
          <w:rFonts w:ascii="Times New Roman" w:hAnsi="Times New Roman"/>
          <w:sz w:val="24"/>
          <w:szCs w:val="24"/>
        </w:rPr>
        <w:t xml:space="preserve">. </w:t>
      </w:r>
      <w:r w:rsidR="009E6627" w:rsidRPr="009E6627">
        <w:rPr>
          <w:rFonts w:ascii="Times New Roman" w:hAnsi="Times New Roman"/>
          <w:sz w:val="24"/>
          <w:szCs w:val="24"/>
        </w:rPr>
        <w:t xml:space="preserve">Nurses should develop meaningful relationships with patients during assessments </w:t>
      </w:r>
      <w:r w:rsidRPr="00744387">
        <w:rPr>
          <w:rFonts w:ascii="Times New Roman" w:hAnsi="Times New Roman"/>
          <w:sz w:val="24"/>
          <w:szCs w:val="24"/>
        </w:rPr>
        <w:t xml:space="preserve">and understand their priorities. Further, this study recommends </w:t>
      </w:r>
      <w:r w:rsidR="009E6627">
        <w:rPr>
          <w:rFonts w:ascii="Times New Roman" w:hAnsi="Times New Roman"/>
          <w:sz w:val="24"/>
          <w:szCs w:val="24"/>
        </w:rPr>
        <w:t>creating</w:t>
      </w:r>
      <w:r w:rsidRPr="00744387">
        <w:rPr>
          <w:rFonts w:ascii="Times New Roman" w:hAnsi="Times New Roman"/>
          <w:sz w:val="24"/>
          <w:szCs w:val="24"/>
        </w:rPr>
        <w:t xml:space="preserve"> patient-centered programs for assessing falls to reduce over-reliance on bed alarms. Other strategies identified in the study include maintaining safety precautions and alarms that notify clinicians about patients' movement. </w:t>
      </w:r>
    </w:p>
    <w:p w14:paraId="7AD8078B" w14:textId="77777777"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 xml:space="preserve">Thomas et al. (2019) conducted a literature review to identify physical activity programs effective in increasing balance in the elderly. According to the researchers, resistance and anaerobic exercise, balance training, T-bow and wobble board training, and stability ball are ideal physical therapies for enhancing stability and mobility for the elderly. Other physical approaches for improving physical fitness are a Wii Fit training program encompassing yoga, downhill skiing, heading soccer, and game balls. </w:t>
      </w:r>
    </w:p>
    <w:p w14:paraId="4CA64639" w14:textId="77777777"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 xml:space="preserve">In a qualitative study, King et al. (2018) </w:t>
      </w:r>
      <w:proofErr w:type="gramStart"/>
      <w:r w:rsidRPr="00744387">
        <w:rPr>
          <w:rFonts w:ascii="Times New Roman" w:hAnsi="Times New Roman"/>
          <w:sz w:val="24"/>
          <w:szCs w:val="24"/>
        </w:rPr>
        <w:t>explore</w:t>
      </w:r>
      <w:proofErr w:type="gramEnd"/>
      <w:r w:rsidRPr="00744387">
        <w:rPr>
          <w:rFonts w:ascii="Times New Roman" w:hAnsi="Times New Roman"/>
          <w:sz w:val="24"/>
          <w:szCs w:val="24"/>
        </w:rPr>
        <w:t xml:space="preserve"> nurses' experiences with fall prevention in </w:t>
      </w:r>
      <w:r w:rsidR="00744387">
        <w:rPr>
          <w:rFonts w:ascii="Times New Roman" w:hAnsi="Times New Roman"/>
          <w:sz w:val="24"/>
          <w:szCs w:val="24"/>
        </w:rPr>
        <w:t xml:space="preserve">a </w:t>
      </w:r>
      <w:r w:rsidRPr="00744387">
        <w:rPr>
          <w:rFonts w:ascii="Times New Roman" w:hAnsi="Times New Roman"/>
          <w:sz w:val="24"/>
          <w:szCs w:val="24"/>
        </w:rPr>
        <w:t xml:space="preserve">hospital setting. According to the researchers, patient falls have multifactorial etiology that includes gait instability, fall history, environmental hazards, and staffing ratios. After reviewing responses from 27 RNs and CNAs, King et al. (2018) identified intense messaging from hospital administration, restricting patients' movement, and maintaining patients' physical strength and </w:t>
      </w:r>
      <w:r w:rsidRPr="00744387">
        <w:rPr>
          <w:rFonts w:ascii="Times New Roman" w:hAnsi="Times New Roman"/>
          <w:sz w:val="24"/>
          <w:szCs w:val="24"/>
        </w:rPr>
        <w:lastRenderedPageBreak/>
        <w:t xml:space="preserve">mobility as profound interventions for preventing patient falls. The study recommends a contingency plan that incorporates all these interventions. </w:t>
      </w:r>
    </w:p>
    <w:p w14:paraId="21E0D3BF" w14:textId="77777777" w:rsidR="00D12D3D" w:rsidRPr="00744387"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 xml:space="preserve">Finally, Jähne-Raden et al. (2019) focus on a highly specialized solution for fall prevention and detection. This article explores the application of technology in preventing and detecting falls. The INBED system is a modular prototype consisting of wearable devices for detecting rising events, restlessness, fall, and </w:t>
      </w:r>
      <w:r w:rsidR="00744387" w:rsidRPr="00744387">
        <w:rPr>
          <w:rFonts w:ascii="Times New Roman" w:hAnsi="Times New Roman"/>
          <w:sz w:val="24"/>
          <w:szCs w:val="24"/>
        </w:rPr>
        <w:t>high-risk</w:t>
      </w:r>
      <w:r w:rsidRPr="00744387">
        <w:rPr>
          <w:rFonts w:ascii="Times New Roman" w:hAnsi="Times New Roman"/>
          <w:sz w:val="24"/>
          <w:szCs w:val="24"/>
        </w:rPr>
        <w:t xml:space="preserve"> areas. This system sends signals to nursing staff and seeks to eliminate the over-reliance on belt systems or bed rails that limit the patient's freedom of movement. This study recommends more research on the applicability of the INBED system to confirm its applicability in different clinical contexts. </w:t>
      </w:r>
    </w:p>
    <w:p w14:paraId="49281476" w14:textId="77777777" w:rsidR="00D12D3D" w:rsidRPr="00744387" w:rsidRDefault="00C51ADE" w:rsidP="00744387">
      <w:pPr>
        <w:spacing w:after="0" w:line="480" w:lineRule="auto"/>
        <w:jc w:val="center"/>
        <w:rPr>
          <w:rFonts w:ascii="Times New Roman" w:hAnsi="Times New Roman"/>
          <w:b/>
          <w:bCs/>
          <w:sz w:val="24"/>
          <w:szCs w:val="24"/>
        </w:rPr>
      </w:pPr>
      <w:r w:rsidRPr="00744387">
        <w:rPr>
          <w:rFonts w:ascii="Times New Roman" w:hAnsi="Times New Roman"/>
          <w:b/>
          <w:bCs/>
          <w:sz w:val="24"/>
          <w:szCs w:val="24"/>
        </w:rPr>
        <w:t xml:space="preserve">Conclusion </w:t>
      </w:r>
    </w:p>
    <w:p w14:paraId="21A5D70C" w14:textId="77777777" w:rsidR="00D12D3D" w:rsidRDefault="00C51ADE" w:rsidP="00744387">
      <w:pPr>
        <w:spacing w:after="0" w:line="480" w:lineRule="auto"/>
        <w:ind w:firstLine="720"/>
        <w:rPr>
          <w:rFonts w:ascii="Times New Roman" w:hAnsi="Times New Roman"/>
          <w:sz w:val="24"/>
          <w:szCs w:val="24"/>
        </w:rPr>
      </w:pPr>
      <w:r w:rsidRPr="00744387">
        <w:rPr>
          <w:rFonts w:ascii="Times New Roman" w:hAnsi="Times New Roman"/>
          <w:sz w:val="24"/>
          <w:szCs w:val="24"/>
        </w:rPr>
        <w:t xml:space="preserve">Critical appraisal of evidence sources is a fundamental step for evidence-based practice because it allows researchers to understand the evidence's relevance, consistency, validity, and usability. In this paper, the selected articles provide information regarding the best practices for preventing patient falls. These interventions include alarm </w:t>
      </w:r>
      <w:r w:rsidR="00744387">
        <w:rPr>
          <w:rFonts w:ascii="Times New Roman" w:hAnsi="Times New Roman"/>
          <w:sz w:val="24"/>
          <w:szCs w:val="24"/>
        </w:rPr>
        <w:t>systems</w:t>
      </w:r>
      <w:r w:rsidRPr="00744387">
        <w:rPr>
          <w:rFonts w:ascii="Times New Roman" w:hAnsi="Times New Roman"/>
          <w:sz w:val="24"/>
          <w:szCs w:val="24"/>
        </w:rPr>
        <w:t xml:space="preserve">, risk assessments, improving patients' physical fitness and strength, and incorporating technological systems, such as </w:t>
      </w:r>
      <w:r w:rsidR="00744387">
        <w:rPr>
          <w:rFonts w:ascii="Times New Roman" w:hAnsi="Times New Roman"/>
          <w:sz w:val="24"/>
          <w:szCs w:val="24"/>
        </w:rPr>
        <w:t xml:space="preserve">the </w:t>
      </w:r>
      <w:r w:rsidRPr="00744387">
        <w:rPr>
          <w:rFonts w:ascii="Times New Roman" w:hAnsi="Times New Roman"/>
          <w:sz w:val="24"/>
          <w:szCs w:val="24"/>
        </w:rPr>
        <w:t xml:space="preserve">INBED system to alert clinicians </w:t>
      </w:r>
      <w:r w:rsidR="00744387">
        <w:rPr>
          <w:rFonts w:ascii="Times New Roman" w:hAnsi="Times New Roman"/>
          <w:sz w:val="24"/>
          <w:szCs w:val="24"/>
        </w:rPr>
        <w:t>of</w:t>
      </w:r>
      <w:r w:rsidRPr="00744387">
        <w:rPr>
          <w:rFonts w:ascii="Times New Roman" w:hAnsi="Times New Roman"/>
          <w:sz w:val="24"/>
          <w:szCs w:val="24"/>
        </w:rPr>
        <w:t xml:space="preserve"> the imminent falls or restlessness events. </w:t>
      </w:r>
    </w:p>
    <w:p w14:paraId="7237BB93" w14:textId="77777777" w:rsidR="00744387" w:rsidRDefault="00744387" w:rsidP="00744387">
      <w:pPr>
        <w:spacing w:after="0" w:line="480" w:lineRule="auto"/>
        <w:ind w:firstLine="720"/>
        <w:rPr>
          <w:rFonts w:ascii="Times New Roman" w:hAnsi="Times New Roman"/>
          <w:sz w:val="24"/>
          <w:szCs w:val="24"/>
        </w:rPr>
      </w:pPr>
    </w:p>
    <w:p w14:paraId="5F23FCE6" w14:textId="77777777" w:rsidR="00744387" w:rsidRDefault="00744387" w:rsidP="00744387">
      <w:pPr>
        <w:spacing w:after="0" w:line="480" w:lineRule="auto"/>
        <w:ind w:firstLine="720"/>
        <w:rPr>
          <w:rFonts w:ascii="Times New Roman" w:hAnsi="Times New Roman"/>
          <w:sz w:val="24"/>
          <w:szCs w:val="24"/>
        </w:rPr>
      </w:pPr>
    </w:p>
    <w:p w14:paraId="02A9DF32" w14:textId="77777777" w:rsidR="00744387" w:rsidRDefault="00744387" w:rsidP="00744387">
      <w:pPr>
        <w:spacing w:after="0" w:line="480" w:lineRule="auto"/>
        <w:ind w:firstLine="720"/>
        <w:rPr>
          <w:rFonts w:ascii="Times New Roman" w:hAnsi="Times New Roman"/>
          <w:sz w:val="24"/>
          <w:szCs w:val="24"/>
        </w:rPr>
      </w:pPr>
    </w:p>
    <w:p w14:paraId="49E43A42" w14:textId="77777777" w:rsidR="00744387" w:rsidRDefault="00744387" w:rsidP="00744387">
      <w:pPr>
        <w:spacing w:after="0" w:line="480" w:lineRule="auto"/>
        <w:ind w:firstLine="720"/>
        <w:rPr>
          <w:rFonts w:ascii="Times New Roman" w:hAnsi="Times New Roman"/>
          <w:sz w:val="24"/>
          <w:szCs w:val="24"/>
        </w:rPr>
      </w:pPr>
    </w:p>
    <w:p w14:paraId="539BDF8D" w14:textId="77777777" w:rsidR="00744387" w:rsidRDefault="00744387" w:rsidP="00744387">
      <w:pPr>
        <w:spacing w:after="0" w:line="480" w:lineRule="auto"/>
        <w:ind w:firstLine="720"/>
        <w:rPr>
          <w:rFonts w:ascii="Times New Roman" w:hAnsi="Times New Roman"/>
          <w:sz w:val="24"/>
          <w:szCs w:val="24"/>
        </w:rPr>
      </w:pPr>
    </w:p>
    <w:p w14:paraId="1DDC1272" w14:textId="77777777" w:rsidR="00744387" w:rsidRDefault="00744387" w:rsidP="00744387">
      <w:pPr>
        <w:spacing w:after="0" w:line="480" w:lineRule="auto"/>
        <w:ind w:firstLine="720"/>
        <w:rPr>
          <w:rFonts w:ascii="Times New Roman" w:hAnsi="Times New Roman"/>
          <w:sz w:val="24"/>
          <w:szCs w:val="24"/>
        </w:rPr>
      </w:pPr>
    </w:p>
    <w:p w14:paraId="1EBC5A4F" w14:textId="77777777" w:rsidR="00744387" w:rsidRDefault="00744387" w:rsidP="00744387">
      <w:pPr>
        <w:spacing w:after="0" w:line="480" w:lineRule="auto"/>
        <w:ind w:firstLine="720"/>
        <w:rPr>
          <w:rFonts w:ascii="Times New Roman" w:hAnsi="Times New Roman"/>
          <w:sz w:val="24"/>
          <w:szCs w:val="24"/>
        </w:rPr>
      </w:pPr>
    </w:p>
    <w:p w14:paraId="3AE159B3" w14:textId="77777777" w:rsidR="00744387" w:rsidRPr="00744387" w:rsidRDefault="00744387" w:rsidP="00744387">
      <w:pPr>
        <w:spacing w:after="0" w:line="480" w:lineRule="auto"/>
        <w:jc w:val="center"/>
        <w:rPr>
          <w:rFonts w:ascii="Times New Roman" w:eastAsia="Calibri" w:hAnsi="Times New Roman"/>
          <w:b/>
          <w:bCs/>
          <w:sz w:val="24"/>
          <w:lang w:eastAsia="en-US"/>
        </w:rPr>
      </w:pPr>
      <w:r w:rsidRPr="00744387">
        <w:rPr>
          <w:rFonts w:ascii="Times New Roman" w:eastAsia="Calibri" w:hAnsi="Times New Roman"/>
          <w:b/>
          <w:bCs/>
          <w:sz w:val="24"/>
          <w:lang w:eastAsia="en-US"/>
        </w:rPr>
        <w:lastRenderedPageBreak/>
        <w:t>References</w:t>
      </w:r>
    </w:p>
    <w:p w14:paraId="723AE910" w14:textId="77777777" w:rsidR="00744387" w:rsidRPr="00744387" w:rsidRDefault="00744387" w:rsidP="00744387">
      <w:pPr>
        <w:spacing w:after="0" w:line="480" w:lineRule="auto"/>
        <w:ind w:left="720" w:hanging="720"/>
        <w:rPr>
          <w:rFonts w:ascii="Times New Roman" w:eastAsia="Calibri" w:hAnsi="Times New Roman"/>
          <w:sz w:val="24"/>
          <w:lang w:eastAsia="en-US"/>
        </w:rPr>
      </w:pPr>
      <w:r w:rsidRPr="00744387">
        <w:rPr>
          <w:rFonts w:ascii="Times New Roman" w:eastAsia="Calibri" w:hAnsi="Times New Roman"/>
          <w:sz w:val="24"/>
          <w:lang w:eastAsia="en-US"/>
        </w:rPr>
        <w:t xml:space="preserve">Jähne-Raden, N., </w:t>
      </w:r>
      <w:proofErr w:type="spellStart"/>
      <w:r w:rsidRPr="00744387">
        <w:rPr>
          <w:rFonts w:ascii="Times New Roman" w:eastAsia="Calibri" w:hAnsi="Times New Roman"/>
          <w:sz w:val="24"/>
          <w:lang w:eastAsia="en-US"/>
        </w:rPr>
        <w:t>Kulau</w:t>
      </w:r>
      <w:proofErr w:type="spellEnd"/>
      <w:r w:rsidRPr="00744387">
        <w:rPr>
          <w:rFonts w:ascii="Times New Roman" w:eastAsia="Calibri" w:hAnsi="Times New Roman"/>
          <w:sz w:val="24"/>
          <w:lang w:eastAsia="en-US"/>
        </w:rPr>
        <w:t xml:space="preserve">, U., </w:t>
      </w:r>
      <w:proofErr w:type="spellStart"/>
      <w:r w:rsidRPr="00744387">
        <w:rPr>
          <w:rFonts w:ascii="Times New Roman" w:eastAsia="Calibri" w:hAnsi="Times New Roman"/>
          <w:sz w:val="24"/>
          <w:lang w:eastAsia="en-US"/>
        </w:rPr>
        <w:t>Marschollek</w:t>
      </w:r>
      <w:proofErr w:type="spellEnd"/>
      <w:r w:rsidRPr="00744387">
        <w:rPr>
          <w:rFonts w:ascii="Times New Roman" w:eastAsia="Calibri" w:hAnsi="Times New Roman"/>
          <w:sz w:val="24"/>
          <w:lang w:eastAsia="en-US"/>
        </w:rPr>
        <w:t xml:space="preserve">, M., &amp; Wolf, K. H. (2019). INBED: A highly specialized system for bed-exit detection and fall prevention on a geriatric ward. </w:t>
      </w:r>
      <w:r w:rsidRPr="00744387">
        <w:rPr>
          <w:rFonts w:ascii="Times New Roman" w:eastAsia="Calibri" w:hAnsi="Times New Roman"/>
          <w:i/>
          <w:iCs/>
          <w:sz w:val="24"/>
          <w:lang w:eastAsia="en-US"/>
        </w:rPr>
        <w:t>Sensors, 19</w:t>
      </w:r>
      <w:r w:rsidRPr="00744387">
        <w:rPr>
          <w:rFonts w:ascii="Times New Roman" w:eastAsia="Calibri" w:hAnsi="Times New Roman"/>
          <w:sz w:val="24"/>
          <w:lang w:eastAsia="en-US"/>
        </w:rPr>
        <w:t xml:space="preserve">(5), 1017. </w:t>
      </w:r>
      <w:hyperlink r:id="rId6" w:history="1">
        <w:r w:rsidRPr="00744387">
          <w:rPr>
            <w:rFonts w:ascii="Times New Roman" w:eastAsia="Calibri" w:hAnsi="Times New Roman"/>
            <w:color w:val="0563C1"/>
            <w:sz w:val="24"/>
            <w:u w:val="single"/>
            <w:lang w:eastAsia="en-US"/>
          </w:rPr>
          <w:t>https://doi.org/10.3390/s19051017</w:t>
        </w:r>
      </w:hyperlink>
      <w:r w:rsidRPr="00744387">
        <w:rPr>
          <w:rFonts w:ascii="Times New Roman" w:eastAsia="Calibri" w:hAnsi="Times New Roman"/>
          <w:sz w:val="24"/>
          <w:lang w:eastAsia="en-US"/>
        </w:rPr>
        <w:t xml:space="preserve"> </w:t>
      </w:r>
    </w:p>
    <w:p w14:paraId="590BFE20" w14:textId="77777777" w:rsidR="00744387" w:rsidRPr="00744387" w:rsidRDefault="00744387" w:rsidP="00744387">
      <w:pPr>
        <w:spacing w:after="0" w:line="480" w:lineRule="auto"/>
        <w:ind w:left="720" w:hanging="720"/>
        <w:rPr>
          <w:rFonts w:ascii="Times New Roman" w:eastAsia="Calibri" w:hAnsi="Times New Roman"/>
          <w:sz w:val="24"/>
          <w:lang w:eastAsia="en-US"/>
        </w:rPr>
      </w:pPr>
      <w:r w:rsidRPr="00744387">
        <w:rPr>
          <w:rFonts w:ascii="Times New Roman" w:eastAsia="Calibri" w:hAnsi="Times New Roman"/>
          <w:sz w:val="24"/>
          <w:lang w:eastAsia="en-US"/>
        </w:rPr>
        <w:t xml:space="preserve">King, B., </w:t>
      </w:r>
      <w:proofErr w:type="spellStart"/>
      <w:r w:rsidRPr="00744387">
        <w:rPr>
          <w:rFonts w:ascii="Times New Roman" w:eastAsia="Calibri" w:hAnsi="Times New Roman"/>
          <w:sz w:val="24"/>
          <w:lang w:eastAsia="en-US"/>
        </w:rPr>
        <w:t>Pecanac</w:t>
      </w:r>
      <w:proofErr w:type="spellEnd"/>
      <w:r w:rsidRPr="00744387">
        <w:rPr>
          <w:rFonts w:ascii="Times New Roman" w:eastAsia="Calibri" w:hAnsi="Times New Roman"/>
          <w:sz w:val="24"/>
          <w:lang w:eastAsia="en-US"/>
        </w:rPr>
        <w:t xml:space="preserve">, K., Krupp, A., </w:t>
      </w:r>
      <w:proofErr w:type="spellStart"/>
      <w:r w:rsidRPr="00744387">
        <w:rPr>
          <w:rFonts w:ascii="Times New Roman" w:eastAsia="Calibri" w:hAnsi="Times New Roman"/>
          <w:sz w:val="24"/>
          <w:lang w:eastAsia="en-US"/>
        </w:rPr>
        <w:t>Liebzeit</w:t>
      </w:r>
      <w:proofErr w:type="spellEnd"/>
      <w:r w:rsidRPr="00744387">
        <w:rPr>
          <w:rFonts w:ascii="Times New Roman" w:eastAsia="Calibri" w:hAnsi="Times New Roman"/>
          <w:sz w:val="24"/>
          <w:lang w:eastAsia="en-US"/>
        </w:rPr>
        <w:t xml:space="preserve">, D., &amp; Mahoney, J. (2018). Impact of fall prevention on nurses and care of fall risk patients. </w:t>
      </w:r>
      <w:r w:rsidRPr="00744387">
        <w:rPr>
          <w:rFonts w:ascii="Times New Roman" w:eastAsia="Calibri" w:hAnsi="Times New Roman"/>
          <w:i/>
          <w:iCs/>
          <w:sz w:val="24"/>
          <w:lang w:eastAsia="en-US"/>
        </w:rPr>
        <w:t>The Gerontologist, 58</w:t>
      </w:r>
      <w:r w:rsidRPr="00744387">
        <w:rPr>
          <w:rFonts w:ascii="Times New Roman" w:eastAsia="Calibri" w:hAnsi="Times New Roman"/>
          <w:sz w:val="24"/>
          <w:lang w:eastAsia="en-US"/>
        </w:rPr>
        <w:t xml:space="preserve">(2), 331–340. </w:t>
      </w:r>
      <w:hyperlink r:id="rId7" w:history="1">
        <w:r w:rsidRPr="00744387">
          <w:rPr>
            <w:rFonts w:ascii="Times New Roman" w:eastAsia="Calibri" w:hAnsi="Times New Roman"/>
            <w:color w:val="0563C1"/>
            <w:sz w:val="24"/>
            <w:u w:val="single"/>
            <w:lang w:eastAsia="en-US"/>
          </w:rPr>
          <w:t>https://doi.org/10.1093/geront/gnw156</w:t>
        </w:r>
      </w:hyperlink>
      <w:r w:rsidRPr="00744387">
        <w:rPr>
          <w:rFonts w:ascii="Times New Roman" w:eastAsia="Calibri" w:hAnsi="Times New Roman"/>
          <w:sz w:val="24"/>
          <w:lang w:eastAsia="en-US"/>
        </w:rPr>
        <w:t xml:space="preserve"> </w:t>
      </w:r>
    </w:p>
    <w:p w14:paraId="3C210072" w14:textId="77777777" w:rsidR="00744387" w:rsidRPr="00744387" w:rsidRDefault="00744387" w:rsidP="00744387">
      <w:pPr>
        <w:spacing w:after="0" w:line="480" w:lineRule="auto"/>
        <w:ind w:left="720" w:hanging="720"/>
        <w:rPr>
          <w:rFonts w:ascii="Times New Roman" w:eastAsia="Calibri" w:hAnsi="Times New Roman"/>
          <w:sz w:val="24"/>
          <w:lang w:eastAsia="en-US"/>
        </w:rPr>
      </w:pPr>
      <w:r w:rsidRPr="00744387">
        <w:rPr>
          <w:rFonts w:ascii="Times New Roman" w:eastAsia="Calibri" w:hAnsi="Times New Roman"/>
          <w:sz w:val="24"/>
          <w:lang w:eastAsia="en-US"/>
        </w:rPr>
        <w:t xml:space="preserve">Radecki, B., Reynolds, S., &amp; Kara, A. (2018). Inpatient fall prevention from the patient's perspective: A qualitative study. Applied nursing research: </w:t>
      </w:r>
      <w:proofErr w:type="spellStart"/>
      <w:r w:rsidRPr="00744387">
        <w:rPr>
          <w:rFonts w:ascii="Times New Roman" w:eastAsia="Calibri" w:hAnsi="Times New Roman"/>
          <w:i/>
          <w:iCs/>
          <w:sz w:val="24"/>
          <w:lang w:eastAsia="en-US"/>
        </w:rPr>
        <w:t>ANR</w:t>
      </w:r>
      <w:proofErr w:type="spellEnd"/>
      <w:r w:rsidRPr="00744387">
        <w:rPr>
          <w:rFonts w:ascii="Times New Roman" w:eastAsia="Calibri" w:hAnsi="Times New Roman"/>
          <w:i/>
          <w:iCs/>
          <w:sz w:val="24"/>
          <w:lang w:eastAsia="en-US"/>
        </w:rPr>
        <w:t>, 43</w:t>
      </w:r>
      <w:r w:rsidRPr="00744387">
        <w:rPr>
          <w:rFonts w:ascii="Times New Roman" w:eastAsia="Calibri" w:hAnsi="Times New Roman"/>
          <w:sz w:val="24"/>
          <w:lang w:eastAsia="en-US"/>
        </w:rPr>
        <w:t xml:space="preserve">, 114–119. </w:t>
      </w:r>
      <w:hyperlink r:id="rId8" w:history="1">
        <w:r w:rsidRPr="00744387">
          <w:rPr>
            <w:rFonts w:ascii="Times New Roman" w:eastAsia="Calibri" w:hAnsi="Times New Roman"/>
            <w:color w:val="0563C1"/>
            <w:sz w:val="24"/>
            <w:u w:val="single"/>
            <w:lang w:eastAsia="en-US"/>
          </w:rPr>
          <w:t>https://doi.org/10.1016/j.apnr.2018.08.001</w:t>
        </w:r>
      </w:hyperlink>
      <w:r w:rsidRPr="00744387">
        <w:rPr>
          <w:rFonts w:ascii="Times New Roman" w:eastAsia="Calibri" w:hAnsi="Times New Roman"/>
          <w:sz w:val="24"/>
          <w:lang w:eastAsia="en-US"/>
        </w:rPr>
        <w:t xml:space="preserve"> </w:t>
      </w:r>
    </w:p>
    <w:p w14:paraId="591AE1B1" w14:textId="77777777" w:rsidR="00744387" w:rsidRPr="00744387" w:rsidRDefault="00744387" w:rsidP="00744387">
      <w:pPr>
        <w:spacing w:after="0" w:line="480" w:lineRule="auto"/>
        <w:ind w:left="720" w:hanging="720"/>
        <w:rPr>
          <w:rFonts w:ascii="Times New Roman" w:eastAsia="Calibri" w:hAnsi="Times New Roman"/>
          <w:sz w:val="24"/>
          <w:lang w:eastAsia="en-US"/>
        </w:rPr>
      </w:pPr>
      <w:r w:rsidRPr="00744387">
        <w:rPr>
          <w:rFonts w:ascii="Times New Roman" w:eastAsia="Calibri" w:hAnsi="Times New Roman"/>
          <w:sz w:val="24"/>
          <w:lang w:eastAsia="en-US"/>
        </w:rPr>
        <w:t xml:space="preserve">Thomas, E., Battaglia, G., Patti, A., </w:t>
      </w:r>
      <w:proofErr w:type="spellStart"/>
      <w:r w:rsidRPr="00744387">
        <w:rPr>
          <w:rFonts w:ascii="Times New Roman" w:eastAsia="Calibri" w:hAnsi="Times New Roman"/>
          <w:sz w:val="24"/>
          <w:lang w:eastAsia="en-US"/>
        </w:rPr>
        <w:t>Brusa</w:t>
      </w:r>
      <w:proofErr w:type="spellEnd"/>
      <w:r w:rsidRPr="00744387">
        <w:rPr>
          <w:rFonts w:ascii="Times New Roman" w:eastAsia="Calibri" w:hAnsi="Times New Roman"/>
          <w:sz w:val="24"/>
          <w:lang w:eastAsia="en-US"/>
        </w:rPr>
        <w:t xml:space="preserve">, J., Leonardi, V., Palma, A., &amp; </w:t>
      </w:r>
      <w:proofErr w:type="spellStart"/>
      <w:r w:rsidRPr="00744387">
        <w:rPr>
          <w:rFonts w:ascii="Times New Roman" w:eastAsia="Calibri" w:hAnsi="Times New Roman"/>
          <w:sz w:val="24"/>
          <w:lang w:eastAsia="en-US"/>
        </w:rPr>
        <w:t>Bellafiore</w:t>
      </w:r>
      <w:proofErr w:type="spellEnd"/>
      <w:r w:rsidRPr="00744387">
        <w:rPr>
          <w:rFonts w:ascii="Times New Roman" w:eastAsia="Calibri" w:hAnsi="Times New Roman"/>
          <w:sz w:val="24"/>
          <w:lang w:eastAsia="en-US"/>
        </w:rPr>
        <w:t xml:space="preserve">, M. (2019). Physical activity programs for balance and fall prevention in elderly: A systematic review. </w:t>
      </w:r>
      <w:r w:rsidRPr="00744387">
        <w:rPr>
          <w:rFonts w:ascii="Times New Roman" w:eastAsia="Calibri" w:hAnsi="Times New Roman"/>
          <w:i/>
          <w:iCs/>
          <w:sz w:val="24"/>
          <w:lang w:eastAsia="en-US"/>
        </w:rPr>
        <w:t>Medicine, 98</w:t>
      </w:r>
      <w:r w:rsidRPr="00744387">
        <w:rPr>
          <w:rFonts w:ascii="Times New Roman" w:eastAsia="Calibri" w:hAnsi="Times New Roman"/>
          <w:sz w:val="24"/>
          <w:lang w:eastAsia="en-US"/>
        </w:rPr>
        <w:t xml:space="preserve">(27), e16218. </w:t>
      </w:r>
      <w:hyperlink r:id="rId9" w:history="1">
        <w:r w:rsidRPr="00744387">
          <w:rPr>
            <w:rFonts w:ascii="Times New Roman" w:eastAsia="Calibri" w:hAnsi="Times New Roman"/>
            <w:color w:val="0563C1"/>
            <w:sz w:val="24"/>
            <w:u w:val="single"/>
            <w:lang w:eastAsia="en-US"/>
          </w:rPr>
          <w:t>https://doi.org/10.1097/MD.0000000000016218</w:t>
        </w:r>
      </w:hyperlink>
      <w:r w:rsidRPr="00744387">
        <w:rPr>
          <w:rFonts w:ascii="Times New Roman" w:eastAsia="Calibri" w:hAnsi="Times New Roman"/>
          <w:sz w:val="24"/>
          <w:lang w:eastAsia="en-US"/>
        </w:rPr>
        <w:t xml:space="preserve"> </w:t>
      </w:r>
    </w:p>
    <w:p w14:paraId="775119B1" w14:textId="77777777" w:rsidR="00744387" w:rsidRPr="00744387" w:rsidRDefault="00744387" w:rsidP="00744387">
      <w:pPr>
        <w:spacing w:after="0" w:line="480" w:lineRule="auto"/>
        <w:ind w:firstLine="720"/>
        <w:rPr>
          <w:rFonts w:ascii="Times New Roman" w:hAnsi="Times New Roman"/>
          <w:sz w:val="24"/>
          <w:szCs w:val="24"/>
        </w:rPr>
      </w:pPr>
    </w:p>
    <w:sectPr w:rsidR="00744387" w:rsidRPr="0074438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D2F8" w14:textId="77777777" w:rsidR="00744387" w:rsidRDefault="00744387" w:rsidP="00744387">
      <w:pPr>
        <w:spacing w:after="0" w:line="240" w:lineRule="auto"/>
      </w:pPr>
      <w:r>
        <w:separator/>
      </w:r>
    </w:p>
  </w:endnote>
  <w:endnote w:type="continuationSeparator" w:id="0">
    <w:p w14:paraId="0FCD9580" w14:textId="77777777" w:rsidR="00744387" w:rsidRDefault="00744387" w:rsidP="0074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5163" w14:textId="77777777" w:rsidR="00744387" w:rsidRDefault="00744387" w:rsidP="00744387">
      <w:pPr>
        <w:spacing w:after="0" w:line="240" w:lineRule="auto"/>
      </w:pPr>
      <w:r>
        <w:separator/>
      </w:r>
    </w:p>
  </w:footnote>
  <w:footnote w:type="continuationSeparator" w:id="0">
    <w:p w14:paraId="702AEB2D" w14:textId="77777777" w:rsidR="00744387" w:rsidRDefault="00744387" w:rsidP="0074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B8DF" w14:textId="77777777" w:rsidR="00744387" w:rsidRPr="00744387" w:rsidRDefault="00744387" w:rsidP="00744387">
    <w:pPr>
      <w:pStyle w:val="Header"/>
      <w:spacing w:after="0" w:line="480" w:lineRule="auto"/>
      <w:jc w:val="right"/>
      <w:rPr>
        <w:rFonts w:ascii="Times New Roman" w:hAnsi="Times New Roman"/>
        <w:sz w:val="24"/>
        <w:szCs w:val="24"/>
      </w:rPr>
    </w:pPr>
    <w:r w:rsidRPr="00744387">
      <w:rPr>
        <w:rFonts w:ascii="Times New Roman" w:hAnsi="Times New Roman"/>
        <w:sz w:val="24"/>
        <w:szCs w:val="24"/>
      </w:rPr>
      <w:fldChar w:fldCharType="begin"/>
    </w:r>
    <w:r w:rsidRPr="00744387">
      <w:rPr>
        <w:rFonts w:ascii="Times New Roman" w:hAnsi="Times New Roman"/>
        <w:sz w:val="24"/>
        <w:szCs w:val="24"/>
      </w:rPr>
      <w:instrText xml:space="preserve"> PAGE   \* MERGEFORMAT </w:instrText>
    </w:r>
    <w:r w:rsidRPr="00744387">
      <w:rPr>
        <w:rFonts w:ascii="Times New Roman" w:hAnsi="Times New Roman"/>
        <w:sz w:val="24"/>
        <w:szCs w:val="24"/>
      </w:rPr>
      <w:fldChar w:fldCharType="separate"/>
    </w:r>
    <w:r w:rsidRPr="00744387">
      <w:rPr>
        <w:rFonts w:ascii="Times New Roman" w:hAnsi="Times New Roman"/>
        <w:noProof/>
        <w:sz w:val="24"/>
        <w:szCs w:val="24"/>
      </w:rPr>
      <w:t>2</w:t>
    </w:r>
    <w:r w:rsidRPr="00744387">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3D"/>
    <w:rsid w:val="004261A5"/>
    <w:rsid w:val="00744387"/>
    <w:rsid w:val="009E6627"/>
    <w:rsid w:val="00C51ADE"/>
    <w:rsid w:val="00D12D3D"/>
    <w:rsid w:val="00DC7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C8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87"/>
    <w:pPr>
      <w:tabs>
        <w:tab w:val="center" w:pos="4680"/>
        <w:tab w:val="right" w:pos="9360"/>
      </w:tabs>
    </w:pPr>
  </w:style>
  <w:style w:type="character" w:customStyle="1" w:styleId="HeaderChar">
    <w:name w:val="Header Char"/>
    <w:basedOn w:val="DefaultParagraphFont"/>
    <w:link w:val="Header"/>
    <w:uiPriority w:val="99"/>
    <w:rsid w:val="00744387"/>
    <w:rPr>
      <w:sz w:val="22"/>
      <w:szCs w:val="22"/>
    </w:rPr>
  </w:style>
  <w:style w:type="paragraph" w:styleId="Footer">
    <w:name w:val="footer"/>
    <w:basedOn w:val="Normal"/>
    <w:link w:val="FooterChar"/>
    <w:uiPriority w:val="99"/>
    <w:unhideWhenUsed/>
    <w:rsid w:val="00744387"/>
    <w:pPr>
      <w:tabs>
        <w:tab w:val="center" w:pos="4680"/>
        <w:tab w:val="right" w:pos="9360"/>
      </w:tabs>
    </w:pPr>
  </w:style>
  <w:style w:type="character" w:customStyle="1" w:styleId="FooterChar">
    <w:name w:val="Footer Char"/>
    <w:basedOn w:val="DefaultParagraphFont"/>
    <w:link w:val="Footer"/>
    <w:uiPriority w:val="99"/>
    <w:rsid w:val="00744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apnr.2018.08.001" TargetMode="External"/><Relationship Id="rId3" Type="http://schemas.openxmlformats.org/officeDocument/2006/relationships/webSettings" Target="webSettings.xml"/><Relationship Id="rId7" Type="http://schemas.openxmlformats.org/officeDocument/2006/relationships/hyperlink" Target="https://doi.org/10.1093/geront/gnw1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90/s190510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97/MD.0000000000016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5771</Characters>
  <Application>Microsoft Office Word</Application>
  <DocSecurity>0</DocSecurity>
  <Lines>339</Lines>
  <Paragraphs>38</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2023-04-26T18:31:00Z</dcterms:created>
  <dcterms:modified xsi:type="dcterms:W3CDTF">2023-04-26T18:31:00Z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31e13317552f456cbb804c13398aedd7090ed0bccd79b111e1152320716a6506</vt:lpwstr>
  </property>
</Properties>
</file>