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584" w14:textId="77777777" w:rsidR="00025E31" w:rsidRPr="003644E7" w:rsidRDefault="00025E31" w:rsidP="003644E7">
      <w:pPr>
        <w:spacing w:after="0" w:line="480" w:lineRule="auto"/>
        <w:jc w:val="center"/>
        <w:rPr>
          <w:rFonts w:ascii="Times New Roman" w:hAnsi="Times New Roman"/>
          <w:sz w:val="24"/>
          <w:szCs w:val="24"/>
        </w:rPr>
      </w:pPr>
    </w:p>
    <w:p w14:paraId="192AF1C1" w14:textId="77777777" w:rsidR="00025E31" w:rsidRPr="003644E7" w:rsidRDefault="00025E31" w:rsidP="003644E7">
      <w:pPr>
        <w:spacing w:after="0" w:line="480" w:lineRule="auto"/>
        <w:jc w:val="center"/>
        <w:rPr>
          <w:rFonts w:ascii="Times New Roman" w:hAnsi="Times New Roman"/>
          <w:sz w:val="24"/>
          <w:szCs w:val="24"/>
        </w:rPr>
      </w:pPr>
    </w:p>
    <w:p w14:paraId="1F893C10" w14:textId="77777777" w:rsidR="00025E31" w:rsidRPr="003644E7" w:rsidRDefault="00025E31" w:rsidP="003644E7">
      <w:pPr>
        <w:spacing w:after="0" w:line="480" w:lineRule="auto"/>
        <w:jc w:val="center"/>
        <w:rPr>
          <w:rFonts w:ascii="Times New Roman" w:hAnsi="Times New Roman"/>
          <w:sz w:val="24"/>
          <w:szCs w:val="24"/>
        </w:rPr>
      </w:pPr>
    </w:p>
    <w:p w14:paraId="5C34C475" w14:textId="77777777" w:rsidR="00025E31" w:rsidRPr="003644E7" w:rsidRDefault="00025E31" w:rsidP="003644E7">
      <w:pPr>
        <w:spacing w:after="0" w:line="480" w:lineRule="auto"/>
        <w:rPr>
          <w:rFonts w:ascii="Times New Roman" w:hAnsi="Times New Roman"/>
          <w:sz w:val="24"/>
          <w:szCs w:val="24"/>
        </w:rPr>
      </w:pPr>
    </w:p>
    <w:p w14:paraId="6F61A09B" w14:textId="05A7F523" w:rsidR="00025E31" w:rsidRPr="003644E7" w:rsidRDefault="00CE6A23" w:rsidP="003644E7">
      <w:pPr>
        <w:spacing w:after="0" w:line="480" w:lineRule="auto"/>
        <w:jc w:val="center"/>
        <w:rPr>
          <w:rFonts w:ascii="Times New Roman" w:hAnsi="Times New Roman"/>
          <w:b/>
          <w:bCs/>
          <w:sz w:val="24"/>
          <w:szCs w:val="24"/>
        </w:rPr>
      </w:pPr>
      <w:bookmarkStart w:id="0" w:name="_Hlk133435498"/>
      <w:r>
        <w:rPr>
          <w:rFonts w:ascii="Times New Roman" w:hAnsi="Times New Roman"/>
          <w:b/>
          <w:bCs/>
          <w:sz w:val="24"/>
          <w:szCs w:val="24"/>
        </w:rPr>
        <w:t>NURS 6501</w:t>
      </w:r>
      <w:r w:rsidRPr="00CE6A23">
        <w:rPr>
          <w:rFonts w:ascii="Times New Roman" w:hAnsi="Times New Roman"/>
          <w:b/>
          <w:bCs/>
          <w:sz w:val="24"/>
          <w:szCs w:val="24"/>
        </w:rPr>
        <w:t>Week 8: Module 5 Assignment</w:t>
      </w:r>
      <w:r>
        <w:rPr>
          <w:rFonts w:ascii="Times New Roman" w:hAnsi="Times New Roman"/>
          <w:b/>
          <w:bCs/>
          <w:sz w:val="24"/>
          <w:szCs w:val="24"/>
        </w:rPr>
        <w:t xml:space="preserve">: </w:t>
      </w:r>
      <w:r w:rsidR="00663B0B" w:rsidRPr="003644E7">
        <w:rPr>
          <w:rFonts w:ascii="Times New Roman" w:hAnsi="Times New Roman"/>
          <w:b/>
          <w:bCs/>
          <w:sz w:val="24"/>
          <w:szCs w:val="24"/>
        </w:rPr>
        <w:t>Concepts of Neurological and Musculoskeletal Disorders</w:t>
      </w:r>
    </w:p>
    <w:bookmarkEnd w:id="0"/>
    <w:p w14:paraId="0F5B4DED" w14:textId="77777777" w:rsidR="00025E31" w:rsidRPr="003644E7" w:rsidRDefault="00025E31" w:rsidP="003644E7">
      <w:pPr>
        <w:spacing w:after="0" w:line="480" w:lineRule="auto"/>
        <w:jc w:val="center"/>
        <w:rPr>
          <w:rFonts w:ascii="Times New Roman" w:hAnsi="Times New Roman"/>
          <w:sz w:val="24"/>
          <w:szCs w:val="24"/>
        </w:rPr>
      </w:pPr>
    </w:p>
    <w:p w14:paraId="3CC93B10" w14:textId="77777777" w:rsidR="00025E31" w:rsidRPr="003644E7" w:rsidRDefault="00663B0B" w:rsidP="003644E7">
      <w:pPr>
        <w:spacing w:after="0" w:line="480" w:lineRule="auto"/>
        <w:jc w:val="center"/>
        <w:rPr>
          <w:rFonts w:ascii="Times New Roman" w:hAnsi="Times New Roman"/>
          <w:sz w:val="24"/>
          <w:szCs w:val="24"/>
        </w:rPr>
      </w:pPr>
      <w:r w:rsidRPr="003644E7">
        <w:rPr>
          <w:rFonts w:ascii="Times New Roman" w:hAnsi="Times New Roman"/>
          <w:sz w:val="24"/>
          <w:szCs w:val="24"/>
        </w:rPr>
        <w:t>Student Full Name</w:t>
      </w:r>
    </w:p>
    <w:p w14:paraId="0EEBB6F9" w14:textId="77777777" w:rsidR="00025E31" w:rsidRPr="003644E7" w:rsidRDefault="00663B0B" w:rsidP="003644E7">
      <w:pPr>
        <w:spacing w:after="0" w:line="480" w:lineRule="auto"/>
        <w:jc w:val="center"/>
        <w:rPr>
          <w:rFonts w:ascii="Times New Roman" w:hAnsi="Times New Roman"/>
          <w:sz w:val="24"/>
          <w:szCs w:val="24"/>
        </w:rPr>
      </w:pPr>
      <w:r w:rsidRPr="003644E7">
        <w:rPr>
          <w:rFonts w:ascii="Times New Roman" w:hAnsi="Times New Roman"/>
          <w:sz w:val="24"/>
          <w:szCs w:val="24"/>
        </w:rPr>
        <w:t xml:space="preserve">Institution Affiliation </w:t>
      </w:r>
    </w:p>
    <w:p w14:paraId="03D71FFD" w14:textId="77777777" w:rsidR="00025E31" w:rsidRPr="003644E7" w:rsidRDefault="00663B0B" w:rsidP="003644E7">
      <w:pPr>
        <w:spacing w:after="0" w:line="480" w:lineRule="auto"/>
        <w:jc w:val="center"/>
        <w:rPr>
          <w:rFonts w:ascii="Times New Roman" w:hAnsi="Times New Roman"/>
          <w:sz w:val="24"/>
          <w:szCs w:val="24"/>
        </w:rPr>
      </w:pPr>
      <w:r w:rsidRPr="003644E7">
        <w:rPr>
          <w:rFonts w:ascii="Times New Roman" w:hAnsi="Times New Roman"/>
          <w:sz w:val="24"/>
          <w:szCs w:val="24"/>
        </w:rPr>
        <w:t>Course Full Title</w:t>
      </w:r>
    </w:p>
    <w:p w14:paraId="6EF2E2DB" w14:textId="77777777" w:rsidR="00025E31" w:rsidRPr="003644E7" w:rsidRDefault="00663B0B" w:rsidP="003644E7">
      <w:pPr>
        <w:spacing w:after="0" w:line="480" w:lineRule="auto"/>
        <w:jc w:val="center"/>
        <w:rPr>
          <w:rFonts w:ascii="Times New Roman" w:hAnsi="Times New Roman"/>
          <w:sz w:val="24"/>
          <w:szCs w:val="24"/>
        </w:rPr>
      </w:pPr>
      <w:r w:rsidRPr="003644E7">
        <w:rPr>
          <w:rFonts w:ascii="Times New Roman" w:hAnsi="Times New Roman"/>
          <w:sz w:val="24"/>
          <w:szCs w:val="24"/>
        </w:rPr>
        <w:t>Instructor Full Name</w:t>
      </w:r>
    </w:p>
    <w:p w14:paraId="76F5E35E" w14:textId="77777777" w:rsidR="00025E31" w:rsidRPr="003644E7" w:rsidRDefault="00663B0B" w:rsidP="003644E7">
      <w:pPr>
        <w:spacing w:after="0" w:line="480" w:lineRule="auto"/>
        <w:jc w:val="center"/>
        <w:rPr>
          <w:rFonts w:ascii="Times New Roman" w:hAnsi="Times New Roman"/>
          <w:sz w:val="24"/>
          <w:szCs w:val="24"/>
        </w:rPr>
      </w:pPr>
      <w:r w:rsidRPr="003644E7">
        <w:rPr>
          <w:rFonts w:ascii="Times New Roman" w:hAnsi="Times New Roman"/>
          <w:sz w:val="24"/>
          <w:szCs w:val="24"/>
        </w:rPr>
        <w:t xml:space="preserve">Due Date </w:t>
      </w:r>
    </w:p>
    <w:p w14:paraId="52207812" w14:textId="77777777" w:rsidR="00025E31" w:rsidRPr="003644E7" w:rsidRDefault="00025E31" w:rsidP="003644E7">
      <w:pPr>
        <w:spacing w:after="0" w:line="480" w:lineRule="auto"/>
        <w:rPr>
          <w:rFonts w:ascii="Times New Roman" w:hAnsi="Times New Roman"/>
          <w:sz w:val="24"/>
          <w:szCs w:val="24"/>
        </w:rPr>
      </w:pPr>
    </w:p>
    <w:p w14:paraId="42AB2C2C" w14:textId="77777777" w:rsidR="00025E31" w:rsidRPr="003644E7" w:rsidRDefault="00025E31" w:rsidP="003644E7">
      <w:pPr>
        <w:spacing w:after="0" w:line="480" w:lineRule="auto"/>
        <w:rPr>
          <w:rFonts w:ascii="Times New Roman" w:hAnsi="Times New Roman"/>
          <w:sz w:val="24"/>
          <w:szCs w:val="24"/>
        </w:rPr>
      </w:pPr>
    </w:p>
    <w:p w14:paraId="3BCA6176" w14:textId="77777777" w:rsidR="00025E31" w:rsidRPr="003644E7" w:rsidRDefault="00025E31" w:rsidP="003644E7">
      <w:pPr>
        <w:spacing w:after="0" w:line="480" w:lineRule="auto"/>
        <w:rPr>
          <w:rFonts w:ascii="Times New Roman" w:hAnsi="Times New Roman"/>
          <w:sz w:val="24"/>
          <w:szCs w:val="24"/>
        </w:rPr>
      </w:pPr>
    </w:p>
    <w:p w14:paraId="5E09BEA9" w14:textId="77777777" w:rsidR="00025E31" w:rsidRPr="003644E7" w:rsidRDefault="00025E31" w:rsidP="003644E7">
      <w:pPr>
        <w:spacing w:after="0" w:line="480" w:lineRule="auto"/>
        <w:rPr>
          <w:rFonts w:ascii="Times New Roman" w:hAnsi="Times New Roman"/>
          <w:sz w:val="24"/>
          <w:szCs w:val="24"/>
        </w:rPr>
      </w:pPr>
    </w:p>
    <w:p w14:paraId="36E44E95" w14:textId="77777777" w:rsidR="00025E31" w:rsidRPr="003644E7" w:rsidRDefault="00025E31" w:rsidP="003644E7">
      <w:pPr>
        <w:spacing w:after="0" w:line="480" w:lineRule="auto"/>
        <w:rPr>
          <w:rFonts w:ascii="Times New Roman" w:hAnsi="Times New Roman"/>
          <w:sz w:val="24"/>
          <w:szCs w:val="24"/>
        </w:rPr>
      </w:pPr>
    </w:p>
    <w:p w14:paraId="6FA78743" w14:textId="77777777" w:rsidR="00025E31" w:rsidRPr="003644E7" w:rsidRDefault="00025E31" w:rsidP="003644E7">
      <w:pPr>
        <w:spacing w:after="0" w:line="480" w:lineRule="auto"/>
        <w:rPr>
          <w:rFonts w:ascii="Times New Roman" w:hAnsi="Times New Roman"/>
          <w:sz w:val="24"/>
          <w:szCs w:val="24"/>
        </w:rPr>
      </w:pPr>
    </w:p>
    <w:p w14:paraId="08FD0D14" w14:textId="77777777" w:rsidR="00025E31" w:rsidRPr="003644E7" w:rsidRDefault="00025E31" w:rsidP="003644E7">
      <w:pPr>
        <w:spacing w:after="0" w:line="480" w:lineRule="auto"/>
        <w:rPr>
          <w:rFonts w:ascii="Times New Roman" w:hAnsi="Times New Roman"/>
          <w:sz w:val="24"/>
          <w:szCs w:val="24"/>
        </w:rPr>
      </w:pPr>
    </w:p>
    <w:p w14:paraId="6EEB75EE" w14:textId="77777777" w:rsidR="00025E31" w:rsidRPr="003644E7" w:rsidRDefault="00025E31" w:rsidP="003644E7">
      <w:pPr>
        <w:spacing w:after="0" w:line="480" w:lineRule="auto"/>
        <w:rPr>
          <w:rFonts w:ascii="Times New Roman" w:hAnsi="Times New Roman"/>
          <w:sz w:val="24"/>
          <w:szCs w:val="24"/>
        </w:rPr>
      </w:pPr>
    </w:p>
    <w:p w14:paraId="5A18181B" w14:textId="77777777" w:rsidR="00025E31" w:rsidRPr="003644E7" w:rsidRDefault="00025E31" w:rsidP="003644E7">
      <w:pPr>
        <w:spacing w:after="0" w:line="480" w:lineRule="auto"/>
        <w:rPr>
          <w:rFonts w:ascii="Times New Roman" w:hAnsi="Times New Roman"/>
          <w:sz w:val="24"/>
          <w:szCs w:val="24"/>
        </w:rPr>
      </w:pPr>
    </w:p>
    <w:p w14:paraId="6961AC55" w14:textId="77777777" w:rsidR="00025E31" w:rsidRPr="003644E7" w:rsidRDefault="00025E31" w:rsidP="003644E7">
      <w:pPr>
        <w:spacing w:after="0" w:line="480" w:lineRule="auto"/>
        <w:rPr>
          <w:rFonts w:ascii="Times New Roman" w:hAnsi="Times New Roman"/>
          <w:sz w:val="24"/>
          <w:szCs w:val="24"/>
        </w:rPr>
      </w:pPr>
    </w:p>
    <w:p w14:paraId="6F9FF4C7" w14:textId="77777777" w:rsidR="00025E31" w:rsidRPr="003644E7" w:rsidRDefault="00025E31" w:rsidP="003644E7">
      <w:pPr>
        <w:spacing w:after="0" w:line="480" w:lineRule="auto"/>
        <w:rPr>
          <w:rFonts w:ascii="Times New Roman" w:hAnsi="Times New Roman"/>
          <w:sz w:val="24"/>
          <w:szCs w:val="24"/>
        </w:rPr>
      </w:pPr>
    </w:p>
    <w:p w14:paraId="0A9C266C" w14:textId="6EA7BD20" w:rsidR="00CE6A23" w:rsidRDefault="00CE6A23" w:rsidP="00CE6A23">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NURS 6501</w:t>
      </w:r>
      <w:r w:rsidRPr="00CE6A23">
        <w:rPr>
          <w:rFonts w:ascii="Times New Roman" w:hAnsi="Times New Roman"/>
          <w:b/>
          <w:bCs/>
          <w:sz w:val="24"/>
          <w:szCs w:val="24"/>
        </w:rPr>
        <w:t>Week 8: Module 5 Assignment</w:t>
      </w:r>
      <w:r>
        <w:rPr>
          <w:rFonts w:ascii="Times New Roman" w:hAnsi="Times New Roman"/>
          <w:b/>
          <w:bCs/>
          <w:sz w:val="24"/>
          <w:szCs w:val="24"/>
        </w:rPr>
        <w:t xml:space="preserve">: </w:t>
      </w:r>
      <w:r w:rsidRPr="003644E7">
        <w:rPr>
          <w:rFonts w:ascii="Times New Roman" w:hAnsi="Times New Roman"/>
          <w:b/>
          <w:bCs/>
          <w:sz w:val="24"/>
          <w:szCs w:val="24"/>
        </w:rPr>
        <w:t>Concepts of Neurological and Musculoskeletal Disorders</w:t>
      </w:r>
    </w:p>
    <w:p w14:paraId="1A58B18C" w14:textId="5C8C3A0F" w:rsidR="00025E31" w:rsidRPr="003644E7" w:rsidRDefault="00663B0B" w:rsidP="003644E7">
      <w:pPr>
        <w:spacing w:after="0" w:line="480" w:lineRule="auto"/>
        <w:jc w:val="center"/>
        <w:rPr>
          <w:rFonts w:ascii="Times New Roman" w:hAnsi="Times New Roman"/>
          <w:b/>
          <w:bCs/>
          <w:sz w:val="24"/>
          <w:szCs w:val="24"/>
        </w:rPr>
      </w:pPr>
      <w:r w:rsidRPr="003644E7">
        <w:rPr>
          <w:rFonts w:ascii="Times New Roman" w:hAnsi="Times New Roman"/>
          <w:b/>
          <w:bCs/>
          <w:sz w:val="24"/>
          <w:szCs w:val="24"/>
        </w:rPr>
        <w:t>An Overview of the Case Study</w:t>
      </w:r>
    </w:p>
    <w:p w14:paraId="57A00958" w14:textId="6964D6AA" w:rsidR="00025E31" w:rsidRPr="003644E7" w:rsidRDefault="00663B0B" w:rsidP="003644E7">
      <w:pPr>
        <w:spacing w:after="0" w:line="480" w:lineRule="auto"/>
        <w:ind w:firstLine="720"/>
        <w:rPr>
          <w:rFonts w:ascii="Times New Roman" w:hAnsi="Times New Roman"/>
          <w:sz w:val="24"/>
          <w:szCs w:val="24"/>
        </w:rPr>
      </w:pPr>
      <w:r w:rsidRPr="003644E7">
        <w:rPr>
          <w:rFonts w:ascii="Times New Roman" w:hAnsi="Times New Roman"/>
          <w:sz w:val="24"/>
          <w:szCs w:val="24"/>
        </w:rPr>
        <w:t>A 58-year-old obese male reports to the emergency department with chief complaints of fever, chills, pain, and swelling in the right great toe. Further, he states that the symptoms were sudden</w:t>
      </w:r>
      <w:r w:rsidR="003644E7">
        <w:rPr>
          <w:rFonts w:ascii="Times New Roman" w:hAnsi="Times New Roman"/>
          <w:sz w:val="24"/>
          <w:szCs w:val="24"/>
        </w:rPr>
        <w:t>,</w:t>
      </w:r>
      <w:r w:rsidRPr="003644E7">
        <w:rPr>
          <w:rFonts w:ascii="Times New Roman" w:hAnsi="Times New Roman"/>
          <w:sz w:val="24"/>
          <w:szCs w:val="24"/>
        </w:rPr>
        <w:t xml:space="preserve"> and he </w:t>
      </w:r>
      <w:r w:rsidR="00B54FE9">
        <w:rPr>
          <w:rFonts w:ascii="Times New Roman" w:hAnsi="Times New Roman"/>
          <w:sz w:val="24"/>
          <w:szCs w:val="24"/>
        </w:rPr>
        <w:t>could not</w:t>
      </w:r>
      <w:r w:rsidRPr="003644E7">
        <w:rPr>
          <w:rFonts w:ascii="Times New Roman" w:hAnsi="Times New Roman"/>
          <w:sz w:val="24"/>
          <w:szCs w:val="24"/>
        </w:rPr>
        <w:t xml:space="preserve"> put any weight on his foot. A physical examination reveals exquisite pain </w:t>
      </w:r>
      <w:r w:rsidR="00CE6A23">
        <w:rPr>
          <w:rFonts w:ascii="Times New Roman" w:hAnsi="Times New Roman"/>
          <w:sz w:val="24"/>
          <w:szCs w:val="24"/>
        </w:rPr>
        <w:t>when assessing</w:t>
      </w:r>
      <w:r w:rsidRPr="003644E7">
        <w:rPr>
          <w:rFonts w:ascii="Times New Roman" w:hAnsi="Times New Roman"/>
          <w:sz w:val="24"/>
          <w:szCs w:val="24"/>
        </w:rPr>
        <w:t xml:space="preserve"> the first right metatarsophalangeal (</w:t>
      </w:r>
      <w:proofErr w:type="spellStart"/>
      <w:r w:rsidRPr="003644E7">
        <w:rPr>
          <w:rFonts w:ascii="Times New Roman" w:hAnsi="Times New Roman"/>
          <w:sz w:val="24"/>
          <w:szCs w:val="24"/>
        </w:rPr>
        <w:t>MTP</w:t>
      </w:r>
      <w:proofErr w:type="spellEnd"/>
      <w:r w:rsidRPr="003644E7">
        <w:rPr>
          <w:rFonts w:ascii="Times New Roman" w:hAnsi="Times New Roman"/>
          <w:sz w:val="24"/>
          <w:szCs w:val="24"/>
        </w:rPr>
        <w:t xml:space="preserve">) joint. Besides these clinical manifestations of a musculoskeletal disorder, the patient has a medical history of hypertension and type 2 diabetes mellitus (T2DM). Based on the reported chief </w:t>
      </w:r>
      <w:r w:rsidR="003644E7">
        <w:rPr>
          <w:rFonts w:ascii="Times New Roman" w:hAnsi="Times New Roman"/>
          <w:sz w:val="24"/>
          <w:szCs w:val="24"/>
        </w:rPr>
        <w:t>complaint</w:t>
      </w:r>
      <w:r w:rsidRPr="003644E7">
        <w:rPr>
          <w:rFonts w:ascii="Times New Roman" w:hAnsi="Times New Roman"/>
          <w:sz w:val="24"/>
          <w:szCs w:val="24"/>
        </w:rPr>
        <w:t xml:space="preserve"> of fever, chills, pain, and swelling in the right great toe, it is valid to confirm that the patient is suffering from gout.</w:t>
      </w:r>
    </w:p>
    <w:p w14:paraId="31936BBB" w14:textId="77777777" w:rsidR="00025E31" w:rsidRPr="003644E7" w:rsidRDefault="00663B0B" w:rsidP="003644E7">
      <w:pPr>
        <w:spacing w:after="0" w:line="480" w:lineRule="auto"/>
        <w:jc w:val="center"/>
        <w:rPr>
          <w:rFonts w:ascii="Times New Roman" w:hAnsi="Times New Roman"/>
          <w:b/>
          <w:bCs/>
          <w:sz w:val="24"/>
          <w:szCs w:val="24"/>
        </w:rPr>
      </w:pPr>
      <w:r w:rsidRPr="003644E7">
        <w:rPr>
          <w:rFonts w:ascii="Times New Roman" w:hAnsi="Times New Roman"/>
          <w:b/>
          <w:bCs/>
          <w:sz w:val="24"/>
          <w:szCs w:val="24"/>
        </w:rPr>
        <w:t>Neurological and Musculoskeletal Pathophysiological Processes of Gout</w:t>
      </w:r>
    </w:p>
    <w:p w14:paraId="7F98BAF3" w14:textId="35A1B29F" w:rsidR="00025E31" w:rsidRPr="003644E7" w:rsidRDefault="00663B0B" w:rsidP="003644E7">
      <w:pPr>
        <w:spacing w:after="0" w:line="480" w:lineRule="auto"/>
        <w:ind w:firstLine="720"/>
        <w:rPr>
          <w:rFonts w:ascii="Times New Roman" w:hAnsi="Times New Roman"/>
          <w:sz w:val="24"/>
          <w:szCs w:val="24"/>
        </w:rPr>
      </w:pPr>
      <w:r w:rsidRPr="003644E7">
        <w:rPr>
          <w:rFonts w:ascii="Times New Roman" w:hAnsi="Times New Roman"/>
          <w:sz w:val="24"/>
          <w:szCs w:val="24"/>
        </w:rPr>
        <w:t xml:space="preserve">The pathophysiology of gout entails an inflammatory response to excessive quantities of uric acid (hyperuricemia) in the blood and other body fluids. According to McCance &amp; Huether (2019), hyperuricemia in synovial fluid is </w:t>
      </w:r>
      <w:r w:rsidR="003644E7" w:rsidRPr="003644E7">
        <w:rPr>
          <w:rFonts w:ascii="Times New Roman" w:hAnsi="Times New Roman"/>
          <w:sz w:val="24"/>
          <w:szCs w:val="24"/>
        </w:rPr>
        <w:t>essential in explaining gout's pathophysiology</w:t>
      </w:r>
      <w:r w:rsidRPr="003644E7">
        <w:rPr>
          <w:rFonts w:ascii="Times New Roman" w:hAnsi="Times New Roman"/>
          <w:sz w:val="24"/>
          <w:szCs w:val="24"/>
        </w:rPr>
        <w:t xml:space="preserve">. For instance, elevated levels of uric acid in the blood contribute s to the formation of monosodium urate (MSU) crystals around joints. When explaining the pathophysiology of gout, it is essential to consider the neurological process of an inflammatory response. Ragab et al. (2017) contend </w:t>
      </w:r>
      <w:r w:rsidR="003644E7">
        <w:rPr>
          <w:rFonts w:ascii="Times New Roman" w:hAnsi="Times New Roman"/>
          <w:sz w:val="24"/>
          <w:szCs w:val="24"/>
        </w:rPr>
        <w:t xml:space="preserve">that </w:t>
      </w:r>
      <w:r w:rsidRPr="003644E7">
        <w:rPr>
          <w:rFonts w:ascii="Times New Roman" w:hAnsi="Times New Roman"/>
          <w:sz w:val="24"/>
          <w:szCs w:val="24"/>
        </w:rPr>
        <w:t>the deposition of MSU crystals around joints triggers the inflammation process through engulfment by synovial phagocytic cells, leading to the production of lysosomal enzymes and inflammatory chemokines. Equally, the overproduction of urate and the subsequent monosodium urate crystallization signal TLR2 and TLR4 receptors</w:t>
      </w:r>
      <w:r w:rsidR="003644E7">
        <w:rPr>
          <w:rFonts w:ascii="Times New Roman" w:hAnsi="Times New Roman"/>
          <w:sz w:val="24"/>
          <w:szCs w:val="24"/>
        </w:rPr>
        <w:t>, leading</w:t>
      </w:r>
      <w:r w:rsidRPr="003644E7">
        <w:rPr>
          <w:rFonts w:ascii="Times New Roman" w:hAnsi="Times New Roman"/>
          <w:sz w:val="24"/>
          <w:szCs w:val="24"/>
        </w:rPr>
        <w:t xml:space="preserve"> to </w:t>
      </w:r>
      <w:r w:rsidR="00B54FE9">
        <w:rPr>
          <w:rFonts w:ascii="Times New Roman" w:hAnsi="Times New Roman"/>
          <w:sz w:val="24"/>
          <w:szCs w:val="24"/>
        </w:rPr>
        <w:t xml:space="preserve">the </w:t>
      </w:r>
      <w:r w:rsidRPr="003644E7">
        <w:rPr>
          <w:rFonts w:ascii="Times New Roman" w:hAnsi="Times New Roman"/>
          <w:sz w:val="24"/>
          <w:szCs w:val="24"/>
        </w:rPr>
        <w:t>chronic inflammatory response.</w:t>
      </w:r>
    </w:p>
    <w:p w14:paraId="2148EA33" w14:textId="046CD9CB" w:rsidR="00025E31" w:rsidRPr="003644E7" w:rsidRDefault="00663B0B" w:rsidP="003644E7">
      <w:pPr>
        <w:spacing w:after="0" w:line="480" w:lineRule="auto"/>
        <w:ind w:firstLine="720"/>
        <w:rPr>
          <w:rFonts w:ascii="Times New Roman" w:hAnsi="Times New Roman"/>
          <w:sz w:val="24"/>
          <w:szCs w:val="24"/>
        </w:rPr>
      </w:pPr>
      <w:r w:rsidRPr="003644E7">
        <w:rPr>
          <w:rFonts w:ascii="Times New Roman" w:hAnsi="Times New Roman"/>
          <w:sz w:val="24"/>
          <w:szCs w:val="24"/>
        </w:rPr>
        <w:lastRenderedPageBreak/>
        <w:t xml:space="preserve">From a perspective of musculoskeletal pathophysiology of gout, excessive quantities of uric acid in the blood and other fluids facilitate the </w:t>
      </w:r>
      <w:r w:rsidR="003644E7" w:rsidRPr="003644E7">
        <w:rPr>
          <w:rFonts w:ascii="Times New Roman" w:hAnsi="Times New Roman"/>
          <w:sz w:val="24"/>
          <w:szCs w:val="24"/>
        </w:rPr>
        <w:t>crystallization</w:t>
      </w:r>
      <w:r w:rsidRPr="003644E7">
        <w:rPr>
          <w:rFonts w:ascii="Times New Roman" w:hAnsi="Times New Roman"/>
          <w:sz w:val="24"/>
          <w:szCs w:val="24"/>
        </w:rPr>
        <w:t xml:space="preserve"> of </w:t>
      </w:r>
      <w:r w:rsidR="003644E7">
        <w:rPr>
          <w:rFonts w:ascii="Times New Roman" w:hAnsi="Times New Roman"/>
          <w:sz w:val="24"/>
          <w:szCs w:val="24"/>
        </w:rPr>
        <w:t>monosodium</w:t>
      </w:r>
      <w:r w:rsidRPr="003644E7">
        <w:rPr>
          <w:rFonts w:ascii="Times New Roman" w:hAnsi="Times New Roman"/>
          <w:sz w:val="24"/>
          <w:szCs w:val="24"/>
        </w:rPr>
        <w:t xml:space="preserve"> urate. As a result, the deposition of MSU crystals in the joint cavities triggers reactions with neutrophils and monocytes. McCance &amp; Huether (2019) contend that the reactions between urate crystals and neutrophils and monocytes lead to tissue damage, especially when neutrophils release </w:t>
      </w:r>
      <w:r w:rsidR="003644E7">
        <w:rPr>
          <w:rFonts w:ascii="Times New Roman" w:hAnsi="Times New Roman"/>
          <w:sz w:val="24"/>
          <w:szCs w:val="24"/>
        </w:rPr>
        <w:t>phagolysosome</w:t>
      </w:r>
      <w:r w:rsidRPr="003644E7">
        <w:rPr>
          <w:rFonts w:ascii="Times New Roman" w:hAnsi="Times New Roman"/>
          <w:sz w:val="24"/>
          <w:szCs w:val="24"/>
        </w:rPr>
        <w:t xml:space="preserve"> content. Tissue damages manifest through bone erosion, swelling, Achilles tendonitis, and olecranon bursitis. </w:t>
      </w:r>
    </w:p>
    <w:p w14:paraId="054D6BFD" w14:textId="77777777" w:rsidR="00025E31" w:rsidRPr="003644E7" w:rsidRDefault="00663B0B" w:rsidP="003644E7">
      <w:pPr>
        <w:spacing w:after="0" w:line="480" w:lineRule="auto"/>
        <w:jc w:val="center"/>
        <w:rPr>
          <w:rFonts w:ascii="Times New Roman" w:hAnsi="Times New Roman"/>
          <w:b/>
          <w:bCs/>
          <w:sz w:val="24"/>
          <w:szCs w:val="24"/>
        </w:rPr>
      </w:pPr>
      <w:r w:rsidRPr="003644E7">
        <w:rPr>
          <w:rFonts w:ascii="Times New Roman" w:hAnsi="Times New Roman"/>
          <w:b/>
          <w:bCs/>
          <w:sz w:val="24"/>
          <w:szCs w:val="24"/>
        </w:rPr>
        <w:t>Racial/Ethnic Variables that May Impact Psychological Functioning</w:t>
      </w:r>
    </w:p>
    <w:p w14:paraId="06348B00" w14:textId="70D2D8A2" w:rsidR="00025E31" w:rsidRPr="003644E7" w:rsidRDefault="00663B0B" w:rsidP="003644E7">
      <w:pPr>
        <w:spacing w:after="0" w:line="480" w:lineRule="auto"/>
        <w:ind w:firstLine="720"/>
        <w:rPr>
          <w:rFonts w:ascii="Times New Roman" w:hAnsi="Times New Roman"/>
          <w:sz w:val="24"/>
          <w:szCs w:val="24"/>
        </w:rPr>
      </w:pPr>
      <w:r w:rsidRPr="003644E7">
        <w:rPr>
          <w:rFonts w:ascii="Times New Roman" w:hAnsi="Times New Roman"/>
          <w:sz w:val="24"/>
          <w:szCs w:val="24"/>
        </w:rPr>
        <w:t xml:space="preserve">Excessive alcohol consumption, obesity, lead toxicity, age, certain medications like thiazides, and </w:t>
      </w:r>
      <w:r w:rsidR="003644E7" w:rsidRPr="003644E7">
        <w:rPr>
          <w:rFonts w:ascii="Times New Roman" w:hAnsi="Times New Roman"/>
          <w:sz w:val="24"/>
          <w:szCs w:val="24"/>
        </w:rPr>
        <w:t>dietary</w:t>
      </w:r>
      <w:r w:rsidRPr="003644E7">
        <w:rPr>
          <w:rFonts w:ascii="Times New Roman" w:hAnsi="Times New Roman"/>
          <w:sz w:val="24"/>
          <w:szCs w:val="24"/>
        </w:rPr>
        <w:t xml:space="preserve"> intake of purine-rich foods, including organ meats, pork, and fish</w:t>
      </w:r>
      <w:r w:rsidR="003644E7">
        <w:rPr>
          <w:rFonts w:ascii="Times New Roman" w:hAnsi="Times New Roman"/>
          <w:sz w:val="24"/>
          <w:szCs w:val="24"/>
        </w:rPr>
        <w:t>,</w:t>
      </w:r>
      <w:r w:rsidRPr="003644E7">
        <w:rPr>
          <w:rFonts w:ascii="Times New Roman" w:hAnsi="Times New Roman"/>
          <w:sz w:val="24"/>
          <w:szCs w:val="24"/>
        </w:rPr>
        <w:t xml:space="preserve"> are modifiable and non-modifiable factors for gout (McCance &amp; Huether, 2019). These risk factors are disproportionate to populations grappling with other health issues</w:t>
      </w:r>
      <w:r w:rsidR="003644E7">
        <w:rPr>
          <w:rFonts w:ascii="Times New Roman" w:hAnsi="Times New Roman"/>
          <w:sz w:val="24"/>
          <w:szCs w:val="24"/>
        </w:rPr>
        <w:t>,</w:t>
      </w:r>
      <w:r w:rsidRPr="003644E7">
        <w:rPr>
          <w:rFonts w:ascii="Times New Roman" w:hAnsi="Times New Roman"/>
          <w:sz w:val="24"/>
          <w:szCs w:val="24"/>
        </w:rPr>
        <w:t xml:space="preserve"> such as hypertension. According to Sun et al. (2018), African Americans are at-risk of incident gout due to their susceptibility to hypertension. Equally, African Americans are vulnerable to obesity, diabetes, and chronic kidney disease, increasing the risk of gout. </w:t>
      </w:r>
    </w:p>
    <w:p w14:paraId="28C53A6B" w14:textId="1D5CD6ED" w:rsidR="00025E31" w:rsidRPr="003644E7" w:rsidRDefault="00663B0B" w:rsidP="003644E7">
      <w:pPr>
        <w:spacing w:after="0" w:line="480" w:lineRule="auto"/>
        <w:jc w:val="center"/>
        <w:rPr>
          <w:rFonts w:ascii="Times New Roman" w:hAnsi="Times New Roman"/>
          <w:b/>
          <w:bCs/>
          <w:sz w:val="24"/>
          <w:szCs w:val="24"/>
        </w:rPr>
      </w:pPr>
      <w:r w:rsidRPr="003644E7">
        <w:rPr>
          <w:rFonts w:ascii="Times New Roman" w:hAnsi="Times New Roman"/>
          <w:b/>
          <w:bCs/>
          <w:sz w:val="24"/>
          <w:szCs w:val="24"/>
        </w:rPr>
        <w:t>Conclusion</w:t>
      </w:r>
    </w:p>
    <w:p w14:paraId="315EF649" w14:textId="42BEF0DC" w:rsidR="00025E31" w:rsidRDefault="00663B0B" w:rsidP="003644E7">
      <w:pPr>
        <w:spacing w:after="0" w:line="480" w:lineRule="auto"/>
        <w:ind w:firstLine="720"/>
        <w:rPr>
          <w:rFonts w:ascii="Times New Roman" w:hAnsi="Times New Roman"/>
          <w:sz w:val="24"/>
          <w:szCs w:val="24"/>
        </w:rPr>
      </w:pPr>
      <w:r w:rsidRPr="003644E7">
        <w:rPr>
          <w:rFonts w:ascii="Times New Roman" w:hAnsi="Times New Roman"/>
          <w:sz w:val="24"/>
          <w:szCs w:val="24"/>
        </w:rPr>
        <w:t xml:space="preserve">Gout is a musculoskeletal disorder that emanates from excessive quantities of uric acid (hyperuricemia) in the blood and other fluids, including the synovial fluid. Hyperuricemia leads to </w:t>
      </w:r>
      <w:r w:rsidR="003644E7">
        <w:rPr>
          <w:rFonts w:ascii="Times New Roman" w:hAnsi="Times New Roman"/>
          <w:sz w:val="24"/>
          <w:szCs w:val="24"/>
        </w:rPr>
        <w:t>monosodium</w:t>
      </w:r>
      <w:r w:rsidR="003644E7" w:rsidRPr="003644E7">
        <w:rPr>
          <w:rFonts w:ascii="Times New Roman" w:hAnsi="Times New Roman"/>
          <w:sz w:val="24"/>
          <w:szCs w:val="24"/>
        </w:rPr>
        <w:t xml:space="preserve"> urate crystallization and MSU deposition</w:t>
      </w:r>
      <w:r w:rsidRPr="003644E7">
        <w:rPr>
          <w:rFonts w:ascii="Times New Roman" w:hAnsi="Times New Roman"/>
          <w:sz w:val="24"/>
          <w:szCs w:val="24"/>
        </w:rPr>
        <w:t xml:space="preserve"> around joints. Notably, </w:t>
      </w:r>
      <w:r w:rsidR="003644E7" w:rsidRPr="003644E7">
        <w:rPr>
          <w:rFonts w:ascii="Times New Roman" w:hAnsi="Times New Roman"/>
          <w:sz w:val="24"/>
          <w:szCs w:val="24"/>
        </w:rPr>
        <w:t xml:space="preserve">gout's neurological and musculoskeletal pathophysiology </w:t>
      </w:r>
      <w:r w:rsidRPr="003644E7">
        <w:rPr>
          <w:rFonts w:ascii="Times New Roman" w:hAnsi="Times New Roman"/>
          <w:sz w:val="24"/>
          <w:szCs w:val="24"/>
        </w:rPr>
        <w:t xml:space="preserve">encompasses the triggering of inflammatory response after the deposition of MSU crystals around joints. An inflammatory response in joint cavities leads to bone erosion, swelling, pain, Achilles tendonitis, and olecranon bursitis. </w:t>
      </w:r>
      <w:r w:rsidRPr="003644E7">
        <w:rPr>
          <w:rFonts w:ascii="Times New Roman" w:hAnsi="Times New Roman"/>
          <w:sz w:val="24"/>
          <w:szCs w:val="24"/>
        </w:rPr>
        <w:lastRenderedPageBreak/>
        <w:t xml:space="preserve">Ethnicity, unhealthy diet, medication use, obesity, diabetes, and lead toxicity are modifiable and non-modifiable risk factors for gout. </w:t>
      </w:r>
    </w:p>
    <w:p w14:paraId="322AFCE4" w14:textId="36348FEB" w:rsidR="00B54FE9" w:rsidRDefault="00B54FE9" w:rsidP="003644E7">
      <w:pPr>
        <w:spacing w:after="0" w:line="480" w:lineRule="auto"/>
        <w:ind w:firstLine="720"/>
        <w:rPr>
          <w:rFonts w:ascii="Times New Roman" w:hAnsi="Times New Roman"/>
          <w:sz w:val="24"/>
          <w:szCs w:val="24"/>
        </w:rPr>
      </w:pPr>
    </w:p>
    <w:p w14:paraId="19820317" w14:textId="2BBD3F3B" w:rsidR="00B54FE9" w:rsidRDefault="00B54FE9" w:rsidP="003644E7">
      <w:pPr>
        <w:spacing w:after="0" w:line="480" w:lineRule="auto"/>
        <w:ind w:firstLine="720"/>
        <w:rPr>
          <w:rFonts w:ascii="Times New Roman" w:hAnsi="Times New Roman"/>
          <w:sz w:val="24"/>
          <w:szCs w:val="24"/>
        </w:rPr>
      </w:pPr>
    </w:p>
    <w:p w14:paraId="162F84EA" w14:textId="380ACD9D" w:rsidR="00B54FE9" w:rsidRDefault="00B54FE9" w:rsidP="003644E7">
      <w:pPr>
        <w:spacing w:after="0" w:line="480" w:lineRule="auto"/>
        <w:ind w:firstLine="720"/>
        <w:rPr>
          <w:rFonts w:ascii="Times New Roman" w:hAnsi="Times New Roman"/>
          <w:sz w:val="24"/>
          <w:szCs w:val="24"/>
        </w:rPr>
      </w:pPr>
    </w:p>
    <w:p w14:paraId="117EDA41" w14:textId="4A879766" w:rsidR="00B54FE9" w:rsidRDefault="00B54FE9" w:rsidP="003644E7">
      <w:pPr>
        <w:spacing w:after="0" w:line="480" w:lineRule="auto"/>
        <w:ind w:firstLine="720"/>
        <w:rPr>
          <w:rFonts w:ascii="Times New Roman" w:hAnsi="Times New Roman"/>
          <w:sz w:val="24"/>
          <w:szCs w:val="24"/>
        </w:rPr>
      </w:pPr>
    </w:p>
    <w:p w14:paraId="4EC80F34" w14:textId="6BFC0DFD" w:rsidR="00B54FE9" w:rsidRDefault="00B54FE9" w:rsidP="003644E7">
      <w:pPr>
        <w:spacing w:after="0" w:line="480" w:lineRule="auto"/>
        <w:ind w:firstLine="720"/>
        <w:rPr>
          <w:rFonts w:ascii="Times New Roman" w:hAnsi="Times New Roman"/>
          <w:sz w:val="24"/>
          <w:szCs w:val="24"/>
        </w:rPr>
      </w:pPr>
    </w:p>
    <w:p w14:paraId="3FB1836B" w14:textId="180B77EA" w:rsidR="00B54FE9" w:rsidRDefault="00B54FE9" w:rsidP="003644E7">
      <w:pPr>
        <w:spacing w:after="0" w:line="480" w:lineRule="auto"/>
        <w:ind w:firstLine="720"/>
        <w:rPr>
          <w:rFonts w:ascii="Times New Roman" w:hAnsi="Times New Roman"/>
          <w:sz w:val="24"/>
          <w:szCs w:val="24"/>
        </w:rPr>
      </w:pPr>
    </w:p>
    <w:p w14:paraId="0B040FE5" w14:textId="35E28D66" w:rsidR="00B54FE9" w:rsidRDefault="00B54FE9" w:rsidP="003644E7">
      <w:pPr>
        <w:spacing w:after="0" w:line="480" w:lineRule="auto"/>
        <w:ind w:firstLine="720"/>
        <w:rPr>
          <w:rFonts w:ascii="Times New Roman" w:hAnsi="Times New Roman"/>
          <w:sz w:val="24"/>
          <w:szCs w:val="24"/>
        </w:rPr>
      </w:pPr>
    </w:p>
    <w:p w14:paraId="4F57474A" w14:textId="6256B56D" w:rsidR="00B54FE9" w:rsidRDefault="00B54FE9" w:rsidP="003644E7">
      <w:pPr>
        <w:spacing w:after="0" w:line="480" w:lineRule="auto"/>
        <w:ind w:firstLine="720"/>
        <w:rPr>
          <w:rFonts w:ascii="Times New Roman" w:hAnsi="Times New Roman"/>
          <w:sz w:val="24"/>
          <w:szCs w:val="24"/>
        </w:rPr>
      </w:pPr>
    </w:p>
    <w:p w14:paraId="337B04BE" w14:textId="1171C751" w:rsidR="00B54FE9" w:rsidRDefault="00B54FE9" w:rsidP="003644E7">
      <w:pPr>
        <w:spacing w:after="0" w:line="480" w:lineRule="auto"/>
        <w:ind w:firstLine="720"/>
        <w:rPr>
          <w:rFonts w:ascii="Times New Roman" w:hAnsi="Times New Roman"/>
          <w:sz w:val="24"/>
          <w:szCs w:val="24"/>
        </w:rPr>
      </w:pPr>
    </w:p>
    <w:p w14:paraId="54F81D2E" w14:textId="4D8454BD" w:rsidR="00B54FE9" w:rsidRDefault="00B54FE9" w:rsidP="003644E7">
      <w:pPr>
        <w:spacing w:after="0" w:line="480" w:lineRule="auto"/>
        <w:ind w:firstLine="720"/>
        <w:rPr>
          <w:rFonts w:ascii="Times New Roman" w:hAnsi="Times New Roman"/>
          <w:sz w:val="24"/>
          <w:szCs w:val="24"/>
        </w:rPr>
      </w:pPr>
    </w:p>
    <w:p w14:paraId="68B3A722" w14:textId="4F1FA056" w:rsidR="00B54FE9" w:rsidRDefault="00B54FE9" w:rsidP="003644E7">
      <w:pPr>
        <w:spacing w:after="0" w:line="480" w:lineRule="auto"/>
        <w:ind w:firstLine="720"/>
        <w:rPr>
          <w:rFonts w:ascii="Times New Roman" w:hAnsi="Times New Roman"/>
          <w:sz w:val="24"/>
          <w:szCs w:val="24"/>
        </w:rPr>
      </w:pPr>
    </w:p>
    <w:p w14:paraId="0B56ED0B" w14:textId="20D084C2" w:rsidR="00B54FE9" w:rsidRDefault="00B54FE9" w:rsidP="003644E7">
      <w:pPr>
        <w:spacing w:after="0" w:line="480" w:lineRule="auto"/>
        <w:ind w:firstLine="720"/>
        <w:rPr>
          <w:rFonts w:ascii="Times New Roman" w:hAnsi="Times New Roman"/>
          <w:sz w:val="24"/>
          <w:szCs w:val="24"/>
        </w:rPr>
      </w:pPr>
    </w:p>
    <w:p w14:paraId="7A81BE12" w14:textId="5E65B033" w:rsidR="00B54FE9" w:rsidRDefault="00B54FE9" w:rsidP="003644E7">
      <w:pPr>
        <w:spacing w:after="0" w:line="480" w:lineRule="auto"/>
        <w:ind w:firstLine="720"/>
        <w:rPr>
          <w:rFonts w:ascii="Times New Roman" w:hAnsi="Times New Roman"/>
          <w:sz w:val="24"/>
          <w:szCs w:val="24"/>
        </w:rPr>
      </w:pPr>
    </w:p>
    <w:p w14:paraId="7E257183" w14:textId="7D809863" w:rsidR="00B54FE9" w:rsidRDefault="00B54FE9" w:rsidP="003644E7">
      <w:pPr>
        <w:spacing w:after="0" w:line="480" w:lineRule="auto"/>
        <w:ind w:firstLine="720"/>
        <w:rPr>
          <w:rFonts w:ascii="Times New Roman" w:hAnsi="Times New Roman"/>
          <w:sz w:val="24"/>
          <w:szCs w:val="24"/>
        </w:rPr>
      </w:pPr>
    </w:p>
    <w:p w14:paraId="4962FA16" w14:textId="7520FC06" w:rsidR="00B54FE9" w:rsidRDefault="00B54FE9" w:rsidP="003644E7">
      <w:pPr>
        <w:spacing w:after="0" w:line="480" w:lineRule="auto"/>
        <w:ind w:firstLine="720"/>
        <w:rPr>
          <w:rFonts w:ascii="Times New Roman" w:hAnsi="Times New Roman"/>
          <w:sz w:val="24"/>
          <w:szCs w:val="24"/>
        </w:rPr>
      </w:pPr>
    </w:p>
    <w:p w14:paraId="0D7170D0" w14:textId="54018E23" w:rsidR="00B54FE9" w:rsidRDefault="00B54FE9" w:rsidP="003644E7">
      <w:pPr>
        <w:spacing w:after="0" w:line="480" w:lineRule="auto"/>
        <w:ind w:firstLine="720"/>
        <w:rPr>
          <w:rFonts w:ascii="Times New Roman" w:hAnsi="Times New Roman"/>
          <w:sz w:val="24"/>
          <w:szCs w:val="24"/>
        </w:rPr>
      </w:pPr>
    </w:p>
    <w:p w14:paraId="5AB6C5DB" w14:textId="30D1470A" w:rsidR="00B54FE9" w:rsidRDefault="00B54FE9" w:rsidP="003644E7">
      <w:pPr>
        <w:spacing w:after="0" w:line="480" w:lineRule="auto"/>
        <w:ind w:firstLine="720"/>
        <w:rPr>
          <w:rFonts w:ascii="Times New Roman" w:hAnsi="Times New Roman"/>
          <w:sz w:val="24"/>
          <w:szCs w:val="24"/>
        </w:rPr>
      </w:pPr>
    </w:p>
    <w:p w14:paraId="679F145C" w14:textId="5CDD036F" w:rsidR="00B54FE9" w:rsidRDefault="00B54FE9" w:rsidP="003644E7">
      <w:pPr>
        <w:spacing w:after="0" w:line="480" w:lineRule="auto"/>
        <w:ind w:firstLine="720"/>
        <w:rPr>
          <w:rFonts w:ascii="Times New Roman" w:hAnsi="Times New Roman"/>
          <w:sz w:val="24"/>
          <w:szCs w:val="24"/>
        </w:rPr>
      </w:pPr>
    </w:p>
    <w:p w14:paraId="25D99663" w14:textId="276B1E5F" w:rsidR="00B54FE9" w:rsidRDefault="00B54FE9" w:rsidP="003644E7">
      <w:pPr>
        <w:spacing w:after="0" w:line="480" w:lineRule="auto"/>
        <w:ind w:firstLine="720"/>
        <w:rPr>
          <w:rFonts w:ascii="Times New Roman" w:hAnsi="Times New Roman"/>
          <w:sz w:val="24"/>
          <w:szCs w:val="24"/>
        </w:rPr>
      </w:pPr>
    </w:p>
    <w:p w14:paraId="5378E426" w14:textId="5FD56423" w:rsidR="00B54FE9" w:rsidRDefault="00B54FE9" w:rsidP="003644E7">
      <w:pPr>
        <w:spacing w:after="0" w:line="480" w:lineRule="auto"/>
        <w:ind w:firstLine="720"/>
        <w:rPr>
          <w:rFonts w:ascii="Times New Roman" w:hAnsi="Times New Roman"/>
          <w:sz w:val="24"/>
          <w:szCs w:val="24"/>
        </w:rPr>
      </w:pPr>
    </w:p>
    <w:p w14:paraId="27405B26" w14:textId="6AF578A0" w:rsidR="00B54FE9" w:rsidRDefault="00B54FE9" w:rsidP="003644E7">
      <w:pPr>
        <w:spacing w:after="0" w:line="480" w:lineRule="auto"/>
        <w:ind w:firstLine="720"/>
        <w:rPr>
          <w:rFonts w:ascii="Times New Roman" w:hAnsi="Times New Roman"/>
          <w:sz w:val="24"/>
          <w:szCs w:val="24"/>
        </w:rPr>
      </w:pPr>
    </w:p>
    <w:p w14:paraId="7C9441DD" w14:textId="77777777" w:rsidR="00B54FE9" w:rsidRPr="00B54FE9" w:rsidRDefault="00B54FE9" w:rsidP="00B54FE9">
      <w:pPr>
        <w:pStyle w:val="NormalWeb"/>
        <w:spacing w:before="0" w:beforeAutospacing="0" w:after="0" w:afterAutospacing="0" w:line="480" w:lineRule="auto"/>
        <w:jc w:val="center"/>
        <w:rPr>
          <w:b/>
          <w:bCs/>
        </w:rPr>
      </w:pPr>
      <w:r w:rsidRPr="00B54FE9">
        <w:rPr>
          <w:b/>
          <w:bCs/>
        </w:rPr>
        <w:lastRenderedPageBreak/>
        <w:t>References</w:t>
      </w:r>
    </w:p>
    <w:p w14:paraId="5EAFC813" w14:textId="225F59DC" w:rsidR="00B54FE9" w:rsidRDefault="00B54FE9" w:rsidP="00B54FE9">
      <w:pPr>
        <w:pStyle w:val="NormalWeb"/>
        <w:spacing w:before="0" w:beforeAutospacing="0" w:after="0" w:afterAutospacing="0" w:line="480" w:lineRule="auto"/>
        <w:ind w:left="720" w:hanging="720"/>
      </w:pPr>
      <w:r>
        <w:t xml:space="preserve">McCance, K., &amp; Huether, S. (2019). </w:t>
      </w:r>
      <w:r>
        <w:rPr>
          <w:i/>
          <w:iCs/>
        </w:rPr>
        <w:t>Pathophysiology: The biologic basis for disease in adults and children</w:t>
      </w:r>
      <w:r>
        <w:t xml:space="preserve"> (8th ed.). Elsevier.</w:t>
      </w:r>
    </w:p>
    <w:p w14:paraId="189B666F" w14:textId="0C30EF82" w:rsidR="00B54FE9" w:rsidRDefault="00B54FE9" w:rsidP="00B54FE9">
      <w:pPr>
        <w:pStyle w:val="NormalWeb"/>
        <w:spacing w:before="0" w:beforeAutospacing="0" w:after="0" w:afterAutospacing="0" w:line="480" w:lineRule="auto"/>
        <w:ind w:left="720" w:hanging="720"/>
      </w:pPr>
      <w:r>
        <w:t xml:space="preserve">Ragab, G., </w:t>
      </w:r>
      <w:proofErr w:type="spellStart"/>
      <w:r>
        <w:t>Elshahaly</w:t>
      </w:r>
      <w:proofErr w:type="spellEnd"/>
      <w:r>
        <w:t xml:space="preserve">, M., &amp; Bardin, T. (2017). Gout: An old disease in a new perspective. </w:t>
      </w:r>
      <w:r>
        <w:rPr>
          <w:i/>
          <w:iCs/>
        </w:rPr>
        <w:t>Journal of Advanced Research</w:t>
      </w:r>
      <w:r>
        <w:t xml:space="preserve">, </w:t>
      </w:r>
      <w:r>
        <w:rPr>
          <w:i/>
          <w:iCs/>
        </w:rPr>
        <w:t>8</w:t>
      </w:r>
      <w:r>
        <w:t xml:space="preserve">(5), 495–511. </w:t>
      </w:r>
      <w:hyperlink r:id="rId6" w:history="1">
        <w:r w:rsidRPr="009B6519">
          <w:rPr>
            <w:rStyle w:val="Hyperlink"/>
          </w:rPr>
          <w:t>https://doi.org/10.1016/j.jare.2017.04.008</w:t>
        </w:r>
      </w:hyperlink>
      <w:r>
        <w:t xml:space="preserve"> </w:t>
      </w:r>
    </w:p>
    <w:p w14:paraId="1CB56886" w14:textId="3FB0B1E4" w:rsidR="00B54FE9" w:rsidRDefault="00B54FE9" w:rsidP="00B54FE9">
      <w:pPr>
        <w:pStyle w:val="NormalWeb"/>
        <w:spacing w:before="0" w:beforeAutospacing="0" w:after="0" w:afterAutospacing="0" w:line="480" w:lineRule="auto"/>
        <w:ind w:left="720" w:hanging="720"/>
      </w:pPr>
      <w:r>
        <w:t xml:space="preserve">Sun, M., Vazquez, A. I., Reynolds, R. J., Singh, J. A., Reeves, M., Merriman, T. R., </w:t>
      </w:r>
      <w:proofErr w:type="spellStart"/>
      <w:r>
        <w:t>Gaffo</w:t>
      </w:r>
      <w:proofErr w:type="spellEnd"/>
      <w:r>
        <w:t xml:space="preserve">, A. L., &amp; Los Campos, G. de. (2018). Untangling the complex relationships between incident gout risk, serum urate, and its comorbidities. </w:t>
      </w:r>
      <w:r>
        <w:rPr>
          <w:i/>
          <w:iCs/>
        </w:rPr>
        <w:t>Arthritis Research &amp; Therapy</w:t>
      </w:r>
      <w:r>
        <w:t xml:space="preserve">, </w:t>
      </w:r>
      <w:r>
        <w:rPr>
          <w:i/>
          <w:iCs/>
        </w:rPr>
        <w:t>20</w:t>
      </w:r>
      <w:r>
        <w:t xml:space="preserve">(1). </w:t>
      </w:r>
      <w:hyperlink r:id="rId7" w:history="1">
        <w:r w:rsidRPr="009B6519">
          <w:rPr>
            <w:rStyle w:val="Hyperlink"/>
          </w:rPr>
          <w:t>https://doi.org/10.1186/s13075-018-1558-3</w:t>
        </w:r>
      </w:hyperlink>
      <w:r>
        <w:t xml:space="preserve"> </w:t>
      </w:r>
    </w:p>
    <w:p w14:paraId="66217853" w14:textId="77777777" w:rsidR="00B54FE9" w:rsidRPr="003644E7" w:rsidRDefault="00B54FE9" w:rsidP="003644E7">
      <w:pPr>
        <w:spacing w:after="0" w:line="480" w:lineRule="auto"/>
        <w:ind w:firstLine="720"/>
        <w:rPr>
          <w:rFonts w:ascii="Times New Roman" w:hAnsi="Times New Roman"/>
          <w:sz w:val="24"/>
          <w:szCs w:val="24"/>
        </w:rPr>
      </w:pPr>
    </w:p>
    <w:p w14:paraId="231B1913" w14:textId="77777777" w:rsidR="00025E31" w:rsidRPr="003644E7" w:rsidRDefault="00025E31" w:rsidP="003644E7">
      <w:pPr>
        <w:spacing w:after="0" w:line="480" w:lineRule="auto"/>
        <w:jc w:val="center"/>
        <w:rPr>
          <w:rFonts w:ascii="Times New Roman" w:hAnsi="Times New Roman"/>
          <w:sz w:val="24"/>
          <w:szCs w:val="24"/>
        </w:rPr>
      </w:pPr>
    </w:p>
    <w:sectPr w:rsidR="00025E31" w:rsidRPr="003644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14A4" w14:textId="77777777" w:rsidR="003644E7" w:rsidRDefault="003644E7" w:rsidP="003644E7">
      <w:pPr>
        <w:spacing w:after="0" w:line="240" w:lineRule="auto"/>
      </w:pPr>
      <w:r>
        <w:separator/>
      </w:r>
    </w:p>
  </w:endnote>
  <w:endnote w:type="continuationSeparator" w:id="0">
    <w:p w14:paraId="5C24B89D" w14:textId="77777777" w:rsidR="003644E7" w:rsidRDefault="003644E7" w:rsidP="0036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FC09" w14:textId="77777777" w:rsidR="003644E7" w:rsidRDefault="003644E7" w:rsidP="003644E7">
      <w:pPr>
        <w:spacing w:after="0" w:line="240" w:lineRule="auto"/>
      </w:pPr>
      <w:r>
        <w:separator/>
      </w:r>
    </w:p>
  </w:footnote>
  <w:footnote w:type="continuationSeparator" w:id="0">
    <w:p w14:paraId="682E9143" w14:textId="77777777" w:rsidR="003644E7" w:rsidRDefault="003644E7" w:rsidP="0036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374F" w14:textId="00B0A198" w:rsidR="003644E7" w:rsidRPr="003644E7" w:rsidRDefault="003644E7" w:rsidP="003644E7">
    <w:pPr>
      <w:pStyle w:val="Header"/>
      <w:spacing w:after="0" w:line="480" w:lineRule="auto"/>
      <w:jc w:val="right"/>
      <w:rPr>
        <w:rFonts w:ascii="Times New Roman" w:hAnsi="Times New Roman"/>
        <w:sz w:val="24"/>
        <w:szCs w:val="24"/>
      </w:rPr>
    </w:pPr>
    <w:r w:rsidRPr="003644E7">
      <w:rPr>
        <w:rFonts w:ascii="Times New Roman" w:hAnsi="Times New Roman"/>
        <w:sz w:val="24"/>
        <w:szCs w:val="24"/>
      </w:rPr>
      <w:fldChar w:fldCharType="begin"/>
    </w:r>
    <w:r w:rsidRPr="003644E7">
      <w:rPr>
        <w:rFonts w:ascii="Times New Roman" w:hAnsi="Times New Roman"/>
        <w:sz w:val="24"/>
        <w:szCs w:val="24"/>
      </w:rPr>
      <w:instrText xml:space="preserve"> PAGE   \* MERGEFORMAT </w:instrText>
    </w:r>
    <w:r w:rsidRPr="003644E7">
      <w:rPr>
        <w:rFonts w:ascii="Times New Roman" w:hAnsi="Times New Roman"/>
        <w:sz w:val="24"/>
        <w:szCs w:val="24"/>
      </w:rPr>
      <w:fldChar w:fldCharType="separate"/>
    </w:r>
    <w:r w:rsidRPr="003644E7">
      <w:rPr>
        <w:rFonts w:ascii="Times New Roman" w:hAnsi="Times New Roman"/>
        <w:noProof/>
        <w:sz w:val="24"/>
        <w:szCs w:val="24"/>
      </w:rPr>
      <w:t>2</w:t>
    </w:r>
    <w:r w:rsidRPr="003644E7">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31"/>
    <w:rsid w:val="00025E31"/>
    <w:rsid w:val="003644E7"/>
    <w:rsid w:val="00663B0B"/>
    <w:rsid w:val="00B54FE9"/>
    <w:rsid w:val="00CE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6A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E7"/>
    <w:pPr>
      <w:tabs>
        <w:tab w:val="center" w:pos="4680"/>
        <w:tab w:val="right" w:pos="9360"/>
      </w:tabs>
    </w:pPr>
  </w:style>
  <w:style w:type="character" w:customStyle="1" w:styleId="HeaderChar">
    <w:name w:val="Header Char"/>
    <w:link w:val="Header"/>
    <w:uiPriority w:val="99"/>
    <w:rsid w:val="003644E7"/>
    <w:rPr>
      <w:sz w:val="22"/>
      <w:szCs w:val="22"/>
    </w:rPr>
  </w:style>
  <w:style w:type="paragraph" w:styleId="Footer">
    <w:name w:val="footer"/>
    <w:basedOn w:val="Normal"/>
    <w:link w:val="FooterChar"/>
    <w:uiPriority w:val="99"/>
    <w:unhideWhenUsed/>
    <w:rsid w:val="003644E7"/>
    <w:pPr>
      <w:tabs>
        <w:tab w:val="center" w:pos="4680"/>
        <w:tab w:val="right" w:pos="9360"/>
      </w:tabs>
    </w:pPr>
  </w:style>
  <w:style w:type="character" w:customStyle="1" w:styleId="FooterChar">
    <w:name w:val="Footer Char"/>
    <w:link w:val="Footer"/>
    <w:uiPriority w:val="99"/>
    <w:rsid w:val="003644E7"/>
    <w:rPr>
      <w:sz w:val="22"/>
      <w:szCs w:val="22"/>
    </w:rPr>
  </w:style>
  <w:style w:type="paragraph" w:styleId="NormalWeb">
    <w:name w:val="Normal (Web)"/>
    <w:basedOn w:val="Normal"/>
    <w:uiPriority w:val="99"/>
    <w:semiHidden/>
    <w:unhideWhenUsed/>
    <w:rsid w:val="00B54FE9"/>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B54FE9"/>
    <w:rPr>
      <w:color w:val="0000FF" w:themeColor="hyperlink"/>
      <w:u w:val="single"/>
    </w:rPr>
  </w:style>
  <w:style w:type="character" w:styleId="UnresolvedMention">
    <w:name w:val="Unresolved Mention"/>
    <w:basedOn w:val="DefaultParagraphFont"/>
    <w:uiPriority w:val="99"/>
    <w:semiHidden/>
    <w:unhideWhenUsed/>
    <w:rsid w:val="00B5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25646">
      <w:bodyDiv w:val="1"/>
      <w:marLeft w:val="0"/>
      <w:marRight w:val="0"/>
      <w:marTop w:val="0"/>
      <w:marBottom w:val="0"/>
      <w:divBdr>
        <w:top w:val="none" w:sz="0" w:space="0" w:color="auto"/>
        <w:left w:val="none" w:sz="0" w:space="0" w:color="auto"/>
        <w:bottom w:val="none" w:sz="0" w:space="0" w:color="auto"/>
        <w:right w:val="none" w:sz="0" w:space="0" w:color="auto"/>
      </w:divBdr>
      <w:divsChild>
        <w:div w:id="1342319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86/s13075-018-155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are.2017.04.0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663</Words>
  <Characters>4066</Characters>
  <Application>Microsoft Office Word</Application>
  <DocSecurity>0</DocSecurity>
  <Lines>107</Lines>
  <Paragraphs>24</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2023-04-26T18:05:00Z</dcterms:created>
  <dcterms:modified xsi:type="dcterms:W3CDTF">2023-04-26T18:05:00Z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90e889f2853065dfb8449bd64326c681f5578fd042bd3e053a109f8071c21995</vt:lpwstr>
  </property>
</Properties>
</file>